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экономического развития администрации Туапсинского муниципального округа</w:t>
      </w:r>
    </w:p>
    <w:p w14:paraId="02000000">
      <w:pPr>
        <w:ind w:firstLine="0" w:left="4961"/>
      </w:pPr>
    </w:p>
    <w:p w14:paraId="03000000">
      <w:pPr>
        <w:ind w:firstLine="0" w:left="4961"/>
      </w:pPr>
      <w:r>
        <w:t>Стамбольжи М.А.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 xml:space="preserve">О внесении изменения </w:t>
      </w:r>
    </w:p>
    <w:p w14:paraId="09000000">
      <w:pPr>
        <w:ind/>
        <w:jc w:val="center"/>
        <w:rPr>
          <w:b w:val="0"/>
        </w:rPr>
      </w:pPr>
      <w:r>
        <w:rPr>
          <w:b w:val="0"/>
          <w:sz w:val="28"/>
        </w:rPr>
        <w:t xml:space="preserve">в постановление администрации </w:t>
      </w:r>
      <w:r>
        <w:rPr>
          <w:b w:val="0"/>
          <w:sz w:val="28"/>
        </w:rPr>
        <w:t xml:space="preserve">муниципального образования </w:t>
      </w:r>
    </w:p>
    <w:p w14:paraId="0A000000">
      <w:pPr>
        <w:ind/>
        <w:jc w:val="center"/>
        <w:rPr>
          <w:b w:val="0"/>
        </w:rPr>
      </w:pPr>
      <w:r>
        <w:rPr>
          <w:b w:val="0"/>
          <w:sz w:val="28"/>
        </w:rPr>
        <w:t xml:space="preserve">Туапсинский район от </w:t>
      </w:r>
      <w:r>
        <w:rPr>
          <w:b w:val="0"/>
          <w:sz w:val="28"/>
        </w:rPr>
        <w:t>7 февраля</w:t>
      </w:r>
      <w:r>
        <w:rPr>
          <w:b w:val="0"/>
          <w:sz w:val="28"/>
        </w:rPr>
        <w:t xml:space="preserve"> 202</w:t>
      </w:r>
      <w:r>
        <w:rPr>
          <w:b w:val="0"/>
          <w:sz w:val="28"/>
        </w:rPr>
        <w:t>2</w:t>
      </w:r>
      <w:r>
        <w:rPr>
          <w:b w:val="0"/>
          <w:sz w:val="28"/>
        </w:rPr>
        <w:t xml:space="preserve"> г. № </w:t>
      </w:r>
      <w:r>
        <w:rPr>
          <w:b w:val="0"/>
          <w:sz w:val="28"/>
        </w:rPr>
        <w:t>155</w:t>
      </w:r>
      <w:r>
        <w:rPr>
          <w:b w:val="0"/>
          <w:sz w:val="28"/>
        </w:rPr>
        <w:t xml:space="preserve"> «</w:t>
      </w:r>
      <w:r>
        <w:rPr>
          <w:b w:val="0"/>
          <w:sz w:val="28"/>
        </w:rPr>
        <w:t>О</w:t>
      </w:r>
      <w:r>
        <w:rPr>
          <w:b w:val="0"/>
          <w:sz w:val="28"/>
        </w:rPr>
        <w:t xml:space="preserve">б утверждении </w:t>
      </w:r>
    </w:p>
    <w:p w14:paraId="0B000000">
      <w:pPr>
        <w:ind/>
        <w:jc w:val="center"/>
        <w:rPr>
          <w:b w:val="0"/>
        </w:rPr>
      </w:pPr>
      <w:r>
        <w:rPr>
          <w:b w:val="0"/>
          <w:sz w:val="28"/>
        </w:rPr>
        <w:t>П</w:t>
      </w:r>
      <w:r>
        <w:rPr>
          <w:b w:val="0"/>
          <w:sz w:val="28"/>
        </w:rPr>
        <w:t xml:space="preserve">орядка </w:t>
      </w:r>
      <w:r>
        <w:rPr>
          <w:b w:val="0"/>
          <w:sz w:val="28"/>
        </w:rPr>
        <w:t xml:space="preserve">предоставления субсидий муниципальным унитарным </w:t>
      </w:r>
    </w:p>
    <w:p w14:paraId="0C000000">
      <w:pPr>
        <w:ind/>
        <w:jc w:val="center"/>
        <w:rPr>
          <w:b w:val="0"/>
        </w:rPr>
      </w:pPr>
      <w:r>
        <w:rPr>
          <w:b w:val="0"/>
          <w:sz w:val="28"/>
        </w:rPr>
        <w:t xml:space="preserve">предприятиям муниципального образования Туапсинский район </w:t>
      </w:r>
    </w:p>
    <w:p w14:paraId="0D000000">
      <w:pPr>
        <w:ind/>
        <w:jc w:val="center"/>
        <w:rPr>
          <w:b w:val="0"/>
        </w:rPr>
      </w:pPr>
      <w:r>
        <w:rPr>
          <w:b w:val="0"/>
          <w:sz w:val="28"/>
        </w:rPr>
        <w:t xml:space="preserve">на погашение кредиторской задолженности </w:t>
      </w:r>
      <w:r>
        <w:rPr>
          <w:b w:val="0"/>
          <w:sz w:val="28"/>
        </w:rPr>
        <w:t xml:space="preserve">при процедуре ликвидации </w:t>
      </w:r>
    </w:p>
    <w:p w14:paraId="0E000000">
      <w:pPr>
        <w:ind/>
        <w:jc w:val="center"/>
        <w:rPr>
          <w:b w:val="0"/>
        </w:rPr>
      </w:pPr>
      <w:r>
        <w:rPr>
          <w:b w:val="0"/>
          <w:sz w:val="28"/>
        </w:rPr>
        <w:t xml:space="preserve">в целях сохранения муниципального имущества муниципального </w:t>
      </w:r>
    </w:p>
    <w:p w14:paraId="0F000000">
      <w:pPr>
        <w:ind/>
        <w:jc w:val="center"/>
        <w:rPr>
          <w:b w:val="0"/>
        </w:rPr>
      </w:pPr>
      <w:r>
        <w:rPr>
          <w:b w:val="0"/>
          <w:sz w:val="28"/>
        </w:rPr>
        <w:t>образования Туапсинский район</w:t>
      </w:r>
      <w:r>
        <w:rPr>
          <w:b w:val="0"/>
          <w:sz w:val="28"/>
        </w:rPr>
        <w:t>»</w:t>
      </w:r>
    </w:p>
    <w:p w14:paraId="10000000">
      <w:pPr>
        <w:ind/>
        <w:jc w:val="center"/>
        <w:rPr>
          <w:b w:val="1"/>
          <w:sz w:val="28"/>
        </w:rPr>
      </w:pPr>
    </w:p>
    <w:p w14:paraId="11000000">
      <w:pPr>
        <w:ind/>
        <w:jc w:val="center"/>
        <w:rPr>
          <w:sz w:val="28"/>
        </w:rPr>
      </w:pPr>
    </w:p>
    <w:p w14:paraId="12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 xml:space="preserve">О внесении изменения </w:t>
      </w:r>
      <w:r>
        <w:rPr>
          <w:b w:val="0"/>
          <w:sz w:val="28"/>
        </w:rPr>
        <w:t xml:space="preserve">в постановление администрации </w:t>
      </w:r>
      <w:r>
        <w:rPr>
          <w:b w:val="0"/>
          <w:sz w:val="28"/>
        </w:rPr>
        <w:t xml:space="preserve">муниципального образования </w:t>
      </w:r>
      <w:r>
        <w:rPr>
          <w:b w:val="0"/>
          <w:sz w:val="28"/>
        </w:rPr>
        <w:t xml:space="preserve">Туапсинский район от </w:t>
      </w:r>
      <w:r>
        <w:rPr>
          <w:b w:val="0"/>
          <w:sz w:val="28"/>
        </w:rPr>
        <w:t>7 февраля</w:t>
      </w:r>
      <w:r>
        <w:rPr>
          <w:b w:val="0"/>
          <w:sz w:val="28"/>
        </w:rPr>
        <w:t xml:space="preserve"> 202</w:t>
      </w:r>
      <w:r>
        <w:rPr>
          <w:b w:val="0"/>
          <w:sz w:val="28"/>
        </w:rPr>
        <w:t>2</w:t>
      </w:r>
      <w:r>
        <w:rPr>
          <w:b w:val="0"/>
          <w:sz w:val="28"/>
        </w:rPr>
        <w:t xml:space="preserve"> г. № </w:t>
      </w:r>
      <w:r>
        <w:rPr>
          <w:b w:val="0"/>
          <w:sz w:val="28"/>
        </w:rPr>
        <w:t>155</w:t>
      </w:r>
      <w:r>
        <w:rPr>
          <w:b w:val="0"/>
          <w:sz w:val="28"/>
        </w:rPr>
        <w:t xml:space="preserve"> «</w:t>
      </w:r>
      <w:r>
        <w:rPr>
          <w:b w:val="0"/>
          <w:sz w:val="28"/>
        </w:rPr>
        <w:t>О</w:t>
      </w:r>
      <w:r>
        <w:rPr>
          <w:b w:val="0"/>
          <w:sz w:val="28"/>
        </w:rPr>
        <w:t xml:space="preserve">б утверждении </w:t>
      </w:r>
      <w:r>
        <w:rPr>
          <w:b w:val="0"/>
          <w:sz w:val="28"/>
        </w:rPr>
        <w:t>П</w:t>
      </w:r>
      <w:r>
        <w:rPr>
          <w:b w:val="0"/>
          <w:sz w:val="28"/>
        </w:rPr>
        <w:t xml:space="preserve">орядка </w:t>
      </w:r>
      <w:r>
        <w:rPr>
          <w:b w:val="0"/>
          <w:sz w:val="28"/>
        </w:rPr>
        <w:t xml:space="preserve">предоставления субсидий муниципальным унитарным </w:t>
      </w:r>
      <w:r>
        <w:rPr>
          <w:b w:val="0"/>
          <w:sz w:val="28"/>
        </w:rPr>
        <w:t xml:space="preserve">предприятиям муниципального образования Туапсинский район </w:t>
      </w:r>
      <w:r>
        <w:rPr>
          <w:b w:val="0"/>
          <w:sz w:val="28"/>
        </w:rPr>
        <w:t xml:space="preserve">на погашение кредиторской задолженности </w:t>
      </w:r>
      <w:r>
        <w:rPr>
          <w:b w:val="0"/>
          <w:sz w:val="28"/>
        </w:rPr>
        <w:t xml:space="preserve">при процедуре ликвидации </w:t>
      </w:r>
      <w:r>
        <w:rPr>
          <w:b w:val="0"/>
          <w:sz w:val="28"/>
        </w:rPr>
        <w:t xml:space="preserve">в целях сохранения муниципального имущества муниципального </w:t>
      </w:r>
      <w:r>
        <w:rPr>
          <w:b w:val="0"/>
          <w:sz w:val="28"/>
        </w:rPr>
        <w:t>образования Туапсинский район</w:t>
      </w:r>
      <w:r>
        <w:t>»</w:t>
      </w:r>
      <w:bookmarkStart w:id="1" w:name="_GoBack"/>
      <w:bookmarkEnd w:id="1"/>
      <w:r>
        <w:rPr>
          <w:b w:val="1"/>
        </w:rPr>
        <w:t xml:space="preserve">, </w:t>
      </w:r>
      <w:r>
        <w:t>поступивший из  управления экономического развития администрации Туапсинского муниципального округа установил:</w:t>
      </w:r>
    </w:p>
    <w:p w14:paraId="13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4000000">
      <w:pPr>
        <w:ind w:firstLine="567" w:left="0"/>
        <w:jc w:val="both"/>
      </w:pPr>
      <w:r>
        <w:rPr>
          <w:sz w:val="28"/>
        </w:rPr>
        <w:t xml:space="preserve">законами Краснодарского края от 8 февраля 2024 г. </w:t>
      </w:r>
      <w:r>
        <w:rPr>
          <w:sz w:val="28"/>
        </w:rPr>
        <w:t>№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и № 5071-КЗ «Об установлении границ муниципального образования Туапсинский муниципальный округ Краснодарского края и о наделении его статусом муниципального округа»,</w:t>
      </w:r>
      <w:r>
        <w:rPr>
          <w:sz w:val="28"/>
        </w:rPr>
        <w:t xml:space="preserve"> решениями</w:t>
      </w:r>
      <w:r>
        <w:rPr>
          <w:sz w:val="28"/>
        </w:rPr>
        <w:t xml:space="preserve"> Совета муницип</w:t>
      </w:r>
      <w:r>
        <w:rPr>
          <w:sz w:val="28"/>
        </w:rPr>
        <w:t>ального образования Туапсинский муниципальный округ</w:t>
      </w:r>
      <w:r>
        <w:rPr>
          <w:sz w:val="28"/>
        </w:rPr>
        <w:t xml:space="preserve"> Краснодарского края </w:t>
      </w:r>
      <w:r>
        <w:rPr>
          <w:sz w:val="28"/>
        </w:rPr>
        <w:t>от 20 декабря 2024 г. № 116 «Об изменении наименования исполнительно-распорядительного органа муниципального образования – администрации муниципального образования Туапсинский район»,</w:t>
      </w:r>
      <w:r>
        <w:rPr>
          <w:sz w:val="28"/>
        </w:rPr>
        <w:t xml:space="preserve"> от 20 декабря 2024 г. № 115 «О структуре администрации муниципального образования Туапсинский муниципальный округ Краснодарского края», </w:t>
      </w:r>
      <w:r>
        <w:rPr>
          <w:sz w:val="28"/>
        </w:rPr>
        <w:t>руко</w:t>
      </w:r>
      <w:r>
        <w:rPr>
          <w:sz w:val="28"/>
        </w:rPr>
        <w:t>водствуясь Устав</w:t>
      </w:r>
      <w:r>
        <w:rPr>
          <w:sz w:val="28"/>
        </w:rPr>
        <w:t>ом</w:t>
      </w:r>
      <w:r>
        <w:rPr>
          <w:sz w:val="28"/>
        </w:rPr>
        <w:t xml:space="preserve"> </w:t>
      </w:r>
      <w:r>
        <w:rPr>
          <w:sz w:val="28"/>
        </w:rPr>
        <w:t>Туапсинского</w:t>
      </w:r>
      <w:r>
        <w:rPr>
          <w:sz w:val="28"/>
        </w:rPr>
        <w:t xml:space="preserve"> </w:t>
      </w:r>
      <w:r>
        <w:rPr>
          <w:sz w:val="28"/>
        </w:rPr>
        <w:t>муниципального</w:t>
      </w:r>
      <w:r>
        <w:rPr>
          <w:sz w:val="28"/>
        </w:rPr>
        <w:t xml:space="preserve"> округ</w:t>
      </w:r>
      <w:r>
        <w:rPr>
          <w:sz w:val="28"/>
        </w:rPr>
        <w:t>а</w:t>
      </w:r>
      <w:r>
        <w:t>.</w:t>
      </w:r>
    </w:p>
    <w:p w14:paraId="15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6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7000000">
      <w:pPr>
        <w:ind w:firstLine="567" w:left="0"/>
        <w:jc w:val="both"/>
      </w:pPr>
      <w:r>
        <w:t>4. Проект нормативного правового акта может быть рекомендован для официального принятия.</w:t>
      </w:r>
    </w:p>
    <w:p w14:paraId="18000000"/>
    <w:p w14:paraId="19000000"/>
    <w:p w14:paraId="1A000000">
      <w:r>
        <w:t>Исполняющий обязанности начальника</w:t>
      </w:r>
    </w:p>
    <w:p w14:paraId="1B000000">
      <w:r>
        <w:t>правового управления администрации</w:t>
      </w:r>
    </w:p>
    <w:p w14:paraId="1C000000">
      <w:r>
        <w:t>Туапсинского муниципального округа                                          Е.В. Филимонова</w:t>
      </w:r>
    </w:p>
    <w:p w14:paraId="1D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Balloon Text"/>
    <w:basedOn w:val="Style_2"/>
    <w:link w:val="Style_11_ch"/>
    <w:rPr>
      <w:rFonts w:ascii="Tahoma" w:hAnsi="Tahoma"/>
      <w:sz w:val="16"/>
    </w:rPr>
  </w:style>
  <w:style w:styleId="Style_11_ch" w:type="character">
    <w:name w:val="Balloon Text"/>
    <w:basedOn w:val="Style_2_ch"/>
    <w:link w:val="Style_11"/>
    <w:rPr>
      <w:rFonts w:ascii="Tahoma" w:hAnsi="Tahoma"/>
      <w:sz w:val="16"/>
    </w:rPr>
  </w:style>
  <w:style w:styleId="Style_12" w:type="paragraph">
    <w:name w:val="Strong"/>
    <w:link w:val="Style_12_ch"/>
    <w:rPr>
      <w:rFonts w:ascii="Times New Roman" w:hAnsi="Times New Roman"/>
      <w:b w:val="1"/>
    </w:rPr>
  </w:style>
  <w:style w:styleId="Style_12_ch" w:type="character">
    <w:name w:val="Strong"/>
    <w:link w:val="Style_12"/>
    <w:rPr>
      <w:rFonts w:ascii="Times New Roman" w:hAnsi="Times New Roman"/>
      <w:b w:val="1"/>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9"/>
    <w:link w:val="Style_1_ch"/>
    <w:rPr>
      <w:color w:val="0000FF"/>
      <w:u w:val="single"/>
    </w:rPr>
  </w:style>
  <w:style w:styleId="Style_1_ch" w:type="character">
    <w:name w:val="Hyperlink"/>
    <w:basedOn w:val="Style_9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Normal (Web)"/>
    <w:basedOn w:val="Style_2"/>
    <w:link w:val="Style_17_ch"/>
    <w:rPr>
      <w:sz w:val="24"/>
    </w:rPr>
  </w:style>
  <w:style w:styleId="Style_17_ch" w:type="character">
    <w:name w:val="Normal (Web)"/>
    <w:basedOn w:val="Style_2_ch"/>
    <w:link w:val="Style_17"/>
    <w:rPr>
      <w:sz w:val="24"/>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ConsPlusNormal"/>
    <w:link w:val="Style_22_ch"/>
    <w:pPr>
      <w:widowControl w:val="0"/>
      <w:spacing w:after="0" w:line="240" w:lineRule="auto"/>
      <w:ind/>
    </w:pPr>
    <w:rPr>
      <w:rFonts w:ascii="Calibri" w:hAnsi="Calibri"/>
    </w:rPr>
  </w:style>
  <w:style w:styleId="Style_22_ch" w:type="character">
    <w:name w:val="ConsPlusNormal"/>
    <w:link w:val="Style_22"/>
    <w:rPr>
      <w:rFonts w:ascii="Calibri" w:hAnsi="Calibri"/>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2025-04-29T13:38:35Z</dcterms:modified>
</cp:coreProperties>
</file>