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имущественных отношений администрации Туапсинского муниципального округа</w:t>
      </w:r>
    </w:p>
    <w:p w14:paraId="02000000">
      <w:pPr>
        <w:ind w:firstLine="0" w:left="4961"/>
      </w:pPr>
    </w:p>
    <w:p w14:paraId="03000000">
      <w:pPr>
        <w:ind w:firstLine="0" w:left="4961"/>
      </w:pPr>
      <w:r>
        <w:t>Чиркову Д.С.</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p>
    <w:p w14:paraId="08000000">
      <w:pPr>
        <w:ind/>
        <w:jc w:val="center"/>
        <w:rPr>
          <w:b w:val="1"/>
        </w:rPr>
      </w:pPr>
      <w:r>
        <w:rPr>
          <w:b w:val="1"/>
        </w:rPr>
        <w:t>Заключение</w:t>
      </w:r>
    </w:p>
    <w:p w14:paraId="09000000">
      <w:pPr>
        <w:ind/>
        <w:jc w:val="center"/>
        <w:rPr>
          <w:b w:val="0"/>
        </w:rPr>
      </w:pPr>
      <w:r>
        <w:t xml:space="preserve">по результатам экспертизы проекта решения Совета муниципального образования Туапсинский муниципальный округ Краснодарского края </w:t>
      </w:r>
      <w:r>
        <w:t>«</w:t>
      </w:r>
      <w:r>
        <w:rPr>
          <w:rFonts w:ascii="Times New Roman" w:hAnsi="Times New Roman"/>
          <w:b w:val="0"/>
          <w:sz w:val="28"/>
        </w:rPr>
        <w:t xml:space="preserve">Об утверждении методики определения размера </w:t>
      </w:r>
      <w:r>
        <w:rPr>
          <w:rFonts w:ascii="Times New Roman" w:hAnsi="Times New Roman"/>
          <w:b w:val="0"/>
          <w:sz w:val="28"/>
        </w:rPr>
        <w:t xml:space="preserve">арендной платы за пользование имуществом, находящимся </w:t>
      </w:r>
      <w:r>
        <w:rPr>
          <w:rFonts w:ascii="Times New Roman" w:hAnsi="Times New Roman"/>
          <w:b w:val="0"/>
          <w:sz w:val="28"/>
        </w:rPr>
        <w:t>в собственности муниципального образования Туапсинский муниципальный округ Краснодарского края</w:t>
      </w:r>
      <w:r>
        <w:rPr>
          <w:b w:val="0"/>
        </w:rPr>
        <w:t>»</w:t>
      </w:r>
    </w:p>
    <w:p w14:paraId="0A000000">
      <w:pPr>
        <w:ind w:hanging="900" w:left="900"/>
        <w:jc w:val="center"/>
        <w:rPr>
          <w:b w:val="1"/>
        </w:rPr>
      </w:pPr>
    </w:p>
    <w:p w14:paraId="0B000000">
      <w:pPr>
        <w:ind/>
        <w:jc w:val="center"/>
        <w:rPr>
          <w:b w:val="1"/>
        </w:rPr>
      </w:pPr>
    </w:p>
    <w:p w14:paraId="0C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решения Совета муниципального образования Туапсинский муниципальный округ Краснодарского края </w:t>
      </w:r>
      <w:r>
        <w:t>«</w:t>
      </w:r>
      <w:r>
        <w:rPr>
          <w:rFonts w:ascii="Times New Roman" w:hAnsi="Times New Roman"/>
          <w:b w:val="0"/>
          <w:sz w:val="28"/>
        </w:rPr>
        <w:t xml:space="preserve">Об утверждении методики определения размера </w:t>
      </w:r>
      <w:r>
        <w:rPr>
          <w:rFonts w:ascii="Times New Roman" w:hAnsi="Times New Roman"/>
          <w:b w:val="0"/>
          <w:sz w:val="28"/>
        </w:rPr>
        <w:t xml:space="preserve">арендной платы за пользование имуществом, находящимся </w:t>
      </w:r>
      <w:r>
        <w:rPr>
          <w:rFonts w:ascii="Times New Roman" w:hAnsi="Times New Roman"/>
          <w:b w:val="0"/>
          <w:sz w:val="28"/>
        </w:rPr>
        <w:t>в собственности муниципального образования Туапсинский муниципальный округ Краснодарского края</w:t>
      </w:r>
      <w:r>
        <w:t>»</w:t>
      </w:r>
      <w:bookmarkStart w:id="1" w:name="_GoBack"/>
      <w:bookmarkEnd w:id="1"/>
      <w:r>
        <w:rPr>
          <w:b w:val="0"/>
        </w:rPr>
        <w:t>,</w:t>
      </w:r>
      <w:r>
        <w:rPr>
          <w:b w:val="1"/>
        </w:rPr>
        <w:t xml:space="preserve"> </w:t>
      </w:r>
      <w:r>
        <w:t>поступивший из  управления имущественных отношений администрации Туапсинского муниципального округа установил:</w:t>
      </w:r>
    </w:p>
    <w:p w14:paraId="0D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E000000">
      <w:pPr>
        <w:ind w:firstLine="567" w:left="0"/>
        <w:jc w:val="both"/>
      </w:pPr>
      <w:r>
        <w:rPr>
          <w:rFonts w:ascii="Times New Roman" w:hAnsi="Times New Roman"/>
          <w:color w:val="1A1A1A"/>
          <w:sz w:val="28"/>
        </w:rPr>
        <w:t>ф</w:t>
      </w:r>
      <w:r>
        <w:rPr>
          <w:rFonts w:ascii="Times New Roman" w:hAnsi="Times New Roman"/>
          <w:color w:val="1A1A1A"/>
          <w:sz w:val="28"/>
        </w:rPr>
        <w:t>едеральным</w:t>
      </w:r>
      <w:r>
        <w:rPr>
          <w:rFonts w:ascii="Times New Roman" w:hAnsi="Times New Roman"/>
          <w:color w:val="1A1A1A"/>
          <w:sz w:val="28"/>
        </w:rPr>
        <w:t>и закона</w:t>
      </w:r>
      <w:r>
        <w:rPr>
          <w:rFonts w:ascii="Times New Roman" w:hAnsi="Times New Roman"/>
          <w:color w:val="1A1A1A"/>
          <w:sz w:val="28"/>
        </w:rPr>
        <w:t>м</w:t>
      </w:r>
      <w:r>
        <w:rPr>
          <w:rFonts w:ascii="Times New Roman" w:hAnsi="Times New Roman"/>
          <w:color w:val="1A1A1A"/>
          <w:sz w:val="28"/>
        </w:rPr>
        <w:t>и</w:t>
      </w:r>
      <w:r>
        <w:rPr>
          <w:rFonts w:ascii="Times New Roman" w:hAnsi="Times New Roman"/>
          <w:color w:val="1A1A1A"/>
          <w:sz w:val="28"/>
        </w:rPr>
        <w:t xml:space="preserve"> от 29 июля 1998 г</w:t>
      </w:r>
      <w:r>
        <w:rPr>
          <w:rFonts w:ascii="Times New Roman" w:hAnsi="Times New Roman"/>
          <w:color w:val="1A1A1A"/>
          <w:sz w:val="28"/>
        </w:rPr>
        <w:t>.</w:t>
      </w:r>
      <w:r>
        <w:rPr>
          <w:rFonts w:ascii="Times New Roman" w:hAnsi="Times New Roman"/>
          <w:color w:val="1A1A1A"/>
          <w:sz w:val="28"/>
        </w:rPr>
        <w:t xml:space="preserve"> </w:t>
      </w:r>
      <w:r>
        <w:rPr>
          <w:rFonts w:ascii="Times New Roman" w:hAnsi="Times New Roman"/>
          <w:color w:val="1A1A1A"/>
          <w:sz w:val="28"/>
        </w:rPr>
        <w:t xml:space="preserve">№ 135-ФЗ «Об оценочной деятельности в Российской Федерации», </w:t>
      </w:r>
      <w:r>
        <w:rPr>
          <w:rFonts w:ascii="Times New Roman" w:hAnsi="Times New Roman"/>
          <w:color w:val="1A1A1A"/>
          <w:sz w:val="28"/>
        </w:rPr>
        <w:t>от 26 июля 2006 г</w:t>
      </w:r>
      <w:r>
        <w:rPr>
          <w:rFonts w:ascii="Times New Roman" w:hAnsi="Times New Roman"/>
          <w:color w:val="1A1A1A"/>
          <w:sz w:val="28"/>
        </w:rPr>
        <w:t>.</w:t>
      </w:r>
      <w:r>
        <w:rPr>
          <w:rFonts w:ascii="Times New Roman" w:hAnsi="Times New Roman"/>
          <w:color w:val="1A1A1A"/>
          <w:sz w:val="28"/>
        </w:rPr>
        <w:t xml:space="preserve"> № 135-ФЗ «О защите конкуренции», </w:t>
      </w:r>
      <w:r>
        <w:rPr>
          <w:rFonts w:ascii="Times New Roman" w:hAnsi="Times New Roman"/>
          <w:color w:val="1A1A1A"/>
          <w:sz w:val="28"/>
        </w:rPr>
        <w:t>Положением о порядке управления и распоряжения имуществом муниципального образования Туапсинский муниципальный округ Краснодарского края, утвержденным решением Совета муниципального образования Туапсинский муниципальный округ Краснодарского края от 17 декабря</w:t>
      </w:r>
      <w:r>
        <w:rPr>
          <w:rFonts w:ascii="Times New Roman" w:hAnsi="Times New Roman"/>
          <w:color w:val="1A1A1A"/>
          <w:sz w:val="28"/>
        </w:rPr>
        <w:t xml:space="preserve"> 2024 г. № 84</w:t>
      </w:r>
      <w:r>
        <w:t>.</w:t>
      </w:r>
    </w:p>
    <w:p w14:paraId="0F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0000000">
      <w:pPr>
        <w:ind w:firstLine="567" w:left="0"/>
        <w:jc w:val="both"/>
      </w:pPr>
    </w:p>
    <w:p w14:paraId="11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2000000">
      <w:pPr>
        <w:ind w:firstLine="567" w:left="0"/>
        <w:jc w:val="both"/>
      </w:pPr>
      <w:r>
        <w:t>4. Проект нормативного правового акта может быть рекомендован для официального принятия.</w:t>
      </w:r>
    </w:p>
    <w:p w14:paraId="13000000"/>
    <w:p w14:paraId="14000000"/>
    <w:p w14:paraId="15000000">
      <w:r>
        <w:t>Начальник</w:t>
      </w:r>
    </w:p>
    <w:p w14:paraId="16000000">
      <w:r>
        <w:t>правового управления администрации</w:t>
      </w:r>
    </w:p>
    <w:p w14:paraId="17000000">
      <w:r>
        <w:t>Туапсинского муниципального округа                                               М.А.</w:t>
      </w:r>
      <w:r>
        <w:t xml:space="preserve"> </w:t>
      </w:r>
      <w:r>
        <w:t>Синенко</w:t>
      </w:r>
    </w:p>
    <w:p w14:paraId="18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Default Paragraph Font"/>
    <w:link w:val="Style_5_ch"/>
  </w:style>
  <w:style w:styleId="Style_5_ch" w:type="character">
    <w:name w:val="Default Paragraph Font"/>
    <w:link w:val="Style_5"/>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Strong"/>
    <w:link w:val="Style_11_ch"/>
    <w:rPr>
      <w:rFonts w:ascii="Times New Roman" w:hAnsi="Times New Roman"/>
      <w:b w:val="1"/>
    </w:rPr>
  </w:style>
  <w:style w:styleId="Style_11_ch" w:type="character">
    <w:name w:val="Strong"/>
    <w:link w:val="Style_11"/>
    <w:rPr>
      <w:rFonts w:ascii="Times New Roman" w:hAnsi="Times New Roman"/>
      <w:b w:val="1"/>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ConsPlusNormal"/>
    <w:link w:val="Style_13_ch"/>
    <w:pPr>
      <w:widowControl w:val="0"/>
      <w:spacing w:after="0" w:line="240" w:lineRule="auto"/>
      <w:ind/>
    </w:pPr>
    <w:rPr>
      <w:rFonts w:ascii="Calibri" w:hAnsi="Calibri"/>
    </w:rPr>
  </w:style>
  <w:style w:styleId="Style_13_ch" w:type="character">
    <w:name w:val="ConsPlusNormal"/>
    <w:link w:val="Style_13"/>
    <w:rPr>
      <w:rFonts w:ascii="Calibri" w:hAnsi="Calibri"/>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5"/>
    <w:link w:val="Style_1_ch"/>
    <w:rPr>
      <w:color w:val="0000FF"/>
      <w:u w:val="single"/>
    </w:rPr>
  </w:style>
  <w:style w:styleId="Style_1_ch" w:type="character">
    <w:name w:val="Hyperlink"/>
    <w:basedOn w:val="Style_5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Balloon Text"/>
    <w:basedOn w:val="Style_2"/>
    <w:link w:val="Style_18_ch"/>
    <w:rPr>
      <w:rFonts w:ascii="Tahoma" w:hAnsi="Tahoma"/>
      <w:sz w:val="16"/>
    </w:rPr>
  </w:style>
  <w:style w:styleId="Style_18_ch" w:type="character">
    <w:name w:val="Balloon Text"/>
    <w:basedOn w:val="Style_2_ch"/>
    <w:link w:val="Style_18"/>
    <w:rPr>
      <w:rFonts w:ascii="Tahoma" w:hAnsi="Tahoma"/>
      <w:sz w:val="16"/>
    </w:rPr>
  </w:style>
  <w:style w:styleId="Style_19" w:type="paragraph">
    <w:name w:val="Normal (Web)"/>
    <w:basedOn w:val="Style_2"/>
    <w:link w:val="Style_19_ch"/>
    <w:rPr>
      <w:sz w:val="24"/>
    </w:rPr>
  </w:style>
  <w:style w:styleId="Style_19_ch" w:type="character">
    <w:name w:val="Normal (Web)"/>
    <w:basedOn w:val="Style_2_ch"/>
    <w:link w:val="Style_19"/>
    <w:rPr>
      <w:sz w:val="24"/>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2025-04-07T14:56:45Z</dcterms:modified>
</cp:coreProperties>
</file>