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A81EB9" w:rsidRPr="00A81EB9" w:rsidRDefault="00A81EB9" w:rsidP="00A81EB9">
      <w:pPr>
        <w:jc w:val="center"/>
        <w:rPr>
          <w:b/>
          <w:sz w:val="28"/>
          <w:szCs w:val="28"/>
        </w:rPr>
      </w:pPr>
      <w:r w:rsidRPr="00A81EB9">
        <w:rPr>
          <w:rFonts w:eastAsia="Calibri"/>
          <w:b/>
          <w:sz w:val="28"/>
          <w:szCs w:val="28"/>
          <w:lang w:eastAsia="en-US"/>
        </w:rPr>
        <w:t xml:space="preserve">О внесении изменений в постановление </w:t>
      </w:r>
      <w:r w:rsidRPr="00A81EB9">
        <w:rPr>
          <w:b/>
          <w:sz w:val="28"/>
          <w:szCs w:val="28"/>
        </w:rPr>
        <w:t>администрации</w:t>
      </w:r>
    </w:p>
    <w:p w:rsidR="00A81EB9" w:rsidRPr="00A81EB9" w:rsidRDefault="00A81EB9" w:rsidP="00A81EB9">
      <w:pPr>
        <w:jc w:val="center"/>
        <w:rPr>
          <w:b/>
          <w:sz w:val="28"/>
          <w:szCs w:val="28"/>
        </w:rPr>
      </w:pPr>
      <w:r w:rsidRPr="00A81EB9">
        <w:rPr>
          <w:b/>
          <w:sz w:val="28"/>
          <w:szCs w:val="28"/>
        </w:rPr>
        <w:t>муниципального о</w:t>
      </w:r>
      <w:bookmarkStart w:id="0" w:name="_GoBack"/>
      <w:bookmarkEnd w:id="0"/>
      <w:r w:rsidRPr="00A81EB9">
        <w:rPr>
          <w:b/>
          <w:sz w:val="28"/>
          <w:szCs w:val="28"/>
        </w:rPr>
        <w:t>бразования Туапсинский район</w:t>
      </w:r>
    </w:p>
    <w:p w:rsidR="00A81EB9" w:rsidRPr="00A81EB9" w:rsidRDefault="00A81EB9" w:rsidP="00A81EB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81EB9">
        <w:rPr>
          <w:b/>
          <w:sz w:val="28"/>
          <w:szCs w:val="28"/>
        </w:rPr>
        <w:t>от 9 июня 2022 г. № 942 «</w:t>
      </w:r>
      <w:r w:rsidRPr="00A81EB9">
        <w:rPr>
          <w:rFonts w:eastAsia="Calibri"/>
          <w:b/>
          <w:sz w:val="28"/>
          <w:szCs w:val="28"/>
          <w:lang w:eastAsia="en-US"/>
        </w:rPr>
        <w:t xml:space="preserve">Об утверждении Порядка </w:t>
      </w:r>
    </w:p>
    <w:p w:rsidR="00A81EB9" w:rsidRPr="00A81EB9" w:rsidRDefault="00A81EB9" w:rsidP="00A81E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81EB9">
        <w:rPr>
          <w:b/>
          <w:bCs/>
          <w:sz w:val="28"/>
          <w:szCs w:val="28"/>
        </w:rPr>
        <w:t xml:space="preserve">определения объема и предоставления субсидии </w:t>
      </w:r>
      <w:proofErr w:type="gramStart"/>
      <w:r w:rsidRPr="00A81EB9">
        <w:rPr>
          <w:b/>
          <w:bCs/>
          <w:sz w:val="28"/>
          <w:szCs w:val="28"/>
        </w:rPr>
        <w:t>по</w:t>
      </w:r>
      <w:proofErr w:type="gramEnd"/>
      <w:r w:rsidRPr="00A81EB9">
        <w:rPr>
          <w:b/>
          <w:bCs/>
          <w:sz w:val="28"/>
          <w:szCs w:val="28"/>
        </w:rPr>
        <w:t xml:space="preserve"> </w:t>
      </w:r>
    </w:p>
    <w:p w:rsidR="00A81EB9" w:rsidRPr="00A81EB9" w:rsidRDefault="00A81EB9" w:rsidP="00A81E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81EB9">
        <w:rPr>
          <w:b/>
          <w:bCs/>
          <w:sz w:val="28"/>
          <w:szCs w:val="28"/>
        </w:rPr>
        <w:t xml:space="preserve">обеспечению отдыха детей в каникулярное время </w:t>
      </w:r>
    </w:p>
    <w:p w:rsidR="00A81EB9" w:rsidRPr="00A81EB9" w:rsidRDefault="00A81EB9" w:rsidP="00A81E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81EB9">
        <w:rPr>
          <w:b/>
          <w:bCs/>
          <w:sz w:val="28"/>
          <w:szCs w:val="28"/>
        </w:rPr>
        <w:t xml:space="preserve">в профильных лагерях, организованных муниципальными общеобразовательными организациями, подведомственными </w:t>
      </w:r>
    </w:p>
    <w:p w:rsidR="00A81EB9" w:rsidRPr="00A81EB9" w:rsidRDefault="00A81EB9" w:rsidP="00A81E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81EB9">
        <w:rPr>
          <w:b/>
          <w:bCs/>
          <w:sz w:val="28"/>
          <w:szCs w:val="28"/>
        </w:rPr>
        <w:t xml:space="preserve">управлению образования администрации муниципального </w:t>
      </w:r>
    </w:p>
    <w:p w:rsidR="00A81EB9" w:rsidRPr="00A81EB9" w:rsidRDefault="00A81EB9" w:rsidP="00A81E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81EB9">
        <w:rPr>
          <w:b/>
          <w:bCs/>
          <w:sz w:val="28"/>
          <w:szCs w:val="28"/>
        </w:rPr>
        <w:t xml:space="preserve">образования Туапсинский район, </w:t>
      </w:r>
      <w:proofErr w:type="gramStart"/>
      <w:r w:rsidRPr="00A81EB9">
        <w:rPr>
          <w:b/>
          <w:bCs/>
          <w:sz w:val="28"/>
          <w:szCs w:val="28"/>
        </w:rPr>
        <w:t>некоммерческой</w:t>
      </w:r>
      <w:proofErr w:type="gramEnd"/>
      <w:r w:rsidRPr="00A81EB9">
        <w:rPr>
          <w:b/>
          <w:bCs/>
          <w:sz w:val="28"/>
          <w:szCs w:val="28"/>
        </w:rPr>
        <w:t xml:space="preserve"> </w:t>
      </w:r>
    </w:p>
    <w:p w:rsidR="00A81EB9" w:rsidRPr="00A81EB9" w:rsidRDefault="00A81EB9" w:rsidP="00A81E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81EB9">
        <w:rPr>
          <w:b/>
          <w:bCs/>
          <w:sz w:val="28"/>
          <w:szCs w:val="28"/>
        </w:rPr>
        <w:t xml:space="preserve">организации, осуществляющей организацию </w:t>
      </w:r>
    </w:p>
    <w:p w:rsidR="00A81EB9" w:rsidRPr="00A81EB9" w:rsidRDefault="00A81EB9" w:rsidP="00A81E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81EB9">
        <w:rPr>
          <w:b/>
          <w:bCs/>
          <w:sz w:val="28"/>
          <w:szCs w:val="28"/>
        </w:rPr>
        <w:t xml:space="preserve">горячего питания» </w:t>
      </w:r>
    </w:p>
    <w:p w:rsidR="00A81EB9" w:rsidRPr="00A81EB9" w:rsidRDefault="00A81EB9" w:rsidP="00A81E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81EB9" w:rsidRPr="00A81EB9" w:rsidRDefault="00A81EB9" w:rsidP="00A81EB9">
      <w:pPr>
        <w:rPr>
          <w:rFonts w:eastAsia="Calibri"/>
          <w:b/>
          <w:sz w:val="28"/>
          <w:szCs w:val="28"/>
          <w:lang w:eastAsia="en-US"/>
        </w:rPr>
      </w:pP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F11D1">
        <w:rPr>
          <w:rFonts w:eastAsia="Calibri"/>
          <w:sz w:val="28"/>
          <w:szCs w:val="28"/>
          <w:lang w:eastAsia="en-US"/>
        </w:rPr>
        <w:t>В соответствии с Федеральным законом от 6 октября                                       2003 г. № 131-ФЗ «Об общих принципах организации местного самоуправления                                        в Российской Федерации», постановлением Правительства Российской Федерации от 25 октября 2023 г. № 1782 «Об утверждении общих требований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         с пунктом 2 статьи 78.1 Бюджетного кодекса Российской Федерации,  постановлением  Главного государственного санитарного врача Российской Федерации от 27 октября 2020 г. № 32 «Об утверждении санитарно-эпидемиологических правил и норм СанПиН 2.3/2.4.3590-20 «Санитарно-эпидемиологические требования к организации общественного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 xml:space="preserve">питания населения», Законом Краснодарского края от 3 марта 2010 г. № 1909-КЗ             «О наделении органов местного самоуправления в Краснодарском крае отдельными государственными полномочиями Краснодарского края                         по организации и обеспечению отдыха и оздоровления детей», решением </w:t>
      </w:r>
      <w:r w:rsidRPr="007F11D1">
        <w:rPr>
          <w:rFonts w:eastAsia="Calibri"/>
          <w:sz w:val="28"/>
          <w:szCs w:val="28"/>
          <w:lang w:eastAsia="en-US"/>
        </w:rPr>
        <w:lastRenderedPageBreak/>
        <w:t>Совета муниципального образования Туапсинский район от 26 апреля 2024 г. № 88 «О дополнительном финансовом обеспечении расходов, связанных                   с осуществлением в 2024 году переданных отдельных государственных полномочий по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обеспечению оплаты питания детей, при                             посещении профильных лагерей, организованных муниципальными общеобразовательными организациями муниципального образования Туапсинский район», постановлениями администрации муниципального образования Туапсинский район от 21 октября 2015 г. № 2458 «Об утверждении муниципальной программы по улучшению положения детей в муниципальном образовании Туапсинский район», от 8 августа 2014 г. № 2186                                «Об утверждении Порядка определения платы за оказание услуг (выполнение работ) для граждан и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юридических лиц, муниципальными учреждениями                   и муниципальными унитарными предприятиями, находящимися                                 в муниципальной собственности муниципального образования Туапсинский район», от 21 июля 2021 г. № 1124 «Об утверждении Порядка по обеспечению отдыха детей в каникулярное время в профильных лагерях, организованных муниципальными образовательными организациями, подведомственных управлению образования администрации муниципального образования Туапсинский район» 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п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о с т а н о в л я ю: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D1">
        <w:rPr>
          <w:rFonts w:eastAsia="Calibri"/>
          <w:sz w:val="28"/>
          <w:szCs w:val="28"/>
          <w:lang w:eastAsia="en-US"/>
        </w:rPr>
        <w:t>1.</w:t>
      </w:r>
      <w:r w:rsidRPr="007F11D1">
        <w:rPr>
          <w:rFonts w:eastAsia="Calibri"/>
          <w:sz w:val="28"/>
          <w:szCs w:val="28"/>
          <w:lang w:eastAsia="en-US"/>
        </w:rPr>
        <w:tab/>
        <w:t xml:space="preserve">Внести в приложение к постановлению администрации муниципального образования Туапсинский район от 9 июня 2022 г. № 942               «Об утверждении Порядка определения объема и предоставления субсидии               по обеспечению отдыха детей в каникулярное время в профильных лагерях, организованных муниципальными общеобразовательными организациями, подведомственными управлению образования администрации муниципального образования Туапсинский район, некоммерческой организации, осуществляющей организацию горячего питания»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изменение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изложив подпункт 2 пункта 2.6 раздела 2 в следующей редакции: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D1">
        <w:rPr>
          <w:rFonts w:eastAsia="Calibri"/>
          <w:sz w:val="28"/>
          <w:szCs w:val="28"/>
          <w:lang w:eastAsia="en-US"/>
        </w:rPr>
        <w:t>«2) размер субсидии некоммерческой организации за счет средств бюджета муниципального образования Туапсинский район  на обеспечение отдыха детей в каникулярное время в профильных лагерях, организованных муниципальными общеобразовательными организациями определяется                       по формуле: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D1">
        <w:rPr>
          <w:rFonts w:eastAsia="Calibri"/>
          <w:sz w:val="28"/>
          <w:szCs w:val="28"/>
          <w:lang w:eastAsia="en-US"/>
        </w:rPr>
        <w:t>Viмб = (P7-11мб x C7-11 x Pдн7-11 + P12 и старше мб x C12 и старше                  x Pдн12 и старше) x Oп,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D1">
        <w:rPr>
          <w:rFonts w:eastAsia="Calibri"/>
          <w:sz w:val="28"/>
          <w:szCs w:val="28"/>
          <w:lang w:eastAsia="en-US"/>
        </w:rPr>
        <w:t>где: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F11D1">
        <w:rPr>
          <w:rFonts w:eastAsia="Calibri"/>
          <w:sz w:val="28"/>
          <w:szCs w:val="28"/>
          <w:lang w:eastAsia="en-US"/>
        </w:rPr>
        <w:t xml:space="preserve">P7-11 мб - численность детей в возрасте от 7 до 11 лет, отдых которых планируется осуществить в профильных лагерях в каникулярное время, организованных муниципальными общеобразовательными организациями, подведомственными управлению образования администрации муниципального образования Туапсинский район, за счет средств бюджета муниципального образования Туапсинский район (дети, находящиеся по социальному паспорту </w:t>
      </w:r>
      <w:r w:rsidRPr="007F11D1">
        <w:rPr>
          <w:rFonts w:eastAsia="Calibri"/>
          <w:sz w:val="28"/>
          <w:szCs w:val="28"/>
          <w:lang w:eastAsia="en-US"/>
        </w:rPr>
        <w:lastRenderedPageBreak/>
        <w:t>общеобразовательной организации в социально-незащищенных семьях                    (в малообеспеченных семьях, не состоящих на учете в управлении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социальной защиты, в неполных семьях (родители в разводе, потеря одного из родителей, одинокие матери, одинокие отцы, семьи в которых оба или один родитель               не работают, состоящие на учете в центре занятости населения Туапсинского района; в семьях, в которых оба или один родитель инвалиды); находящиеся                 на внутришкольном профилактическом учете; находящиеся в группе риска, состоящие на психолого-педагогическом сопровождении;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отличники учебы; призеры, лауреаты, дипломанты, победители международных, всероссийских, областных, муниципальных олимпиад, конкурсов, фестивалей, соревнований; члены детских и молодежных общественных объединений и творческих коллективов, созданных на базе образовательных организаций, принимающие активное участие в деятельности  объединений и коллективов;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дети, родители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осваивающих образовательные программы дошкольного образования                         и обучающихся в образовательных организациях муниципального образования Туапсинский район, подведомственных управлению образования администрации муниципального образования Туапсинский район, дети, находящиеся на иждивении участников специальной военной операции                     на территориях Луганской Народной Республики, Донецкой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 xml:space="preserve">Народной Республики, Запорожской области, Херсонской области и Украины, осваивающих образовательные программы дошкольного образования                        и обучающихся в образовательных организациях муниципального образования Туапсинский район, подведомственных управлению образования администрации муниципального образования Туапсинский район (при наличии  свидетельства о заключении брака, либо вступившего в законную силу решения суда, подтверждающего факт нахождения на иждивении); </w:t>
      </w:r>
      <w:proofErr w:type="gramEnd"/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F11D1">
        <w:rPr>
          <w:rFonts w:eastAsia="Calibri"/>
          <w:sz w:val="28"/>
          <w:szCs w:val="28"/>
          <w:lang w:eastAsia="en-US"/>
        </w:rPr>
        <w:t>C7-11 – стоимость питания одного ребенка в возрасте от 7 до 11 лет включительно согласно постановлению администрации муниципального образования Туапсинский район утверждающие нормы питания в денежном выражении на одного ребенка, пребывающего в профильных лагерях                            в каникулярное время, организованных муниципальными общеобразовательными организациями подведомственными управлению образования администрации муниципального образования Туапсинский район (рублей в день);</w:t>
      </w:r>
      <w:proofErr w:type="gramEnd"/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D1">
        <w:rPr>
          <w:rFonts w:eastAsia="Calibri"/>
          <w:sz w:val="28"/>
          <w:szCs w:val="28"/>
          <w:lang w:eastAsia="en-US"/>
        </w:rPr>
        <w:t>Pдн7-11 - количество дней пребывания ребенка в возрасте от 7 до 11 лет               в профильных лагерях;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F11D1">
        <w:rPr>
          <w:rFonts w:eastAsia="Calibri"/>
          <w:sz w:val="28"/>
          <w:szCs w:val="28"/>
          <w:lang w:eastAsia="en-US"/>
        </w:rPr>
        <w:t xml:space="preserve">P12 и старше мб - численность детей в возрасте от 12 и старше, отдых которых планируется осуществить в профильных лагерях в каникулярное время, организованных муниципальными общеобразовательными организациями, подведомственными управлению образования администрации муниципального образования Туапсинский район, за счет средств бюджета </w:t>
      </w:r>
      <w:r w:rsidRPr="007F11D1">
        <w:rPr>
          <w:rFonts w:eastAsia="Calibri"/>
          <w:sz w:val="28"/>
          <w:szCs w:val="28"/>
          <w:lang w:eastAsia="en-US"/>
        </w:rPr>
        <w:lastRenderedPageBreak/>
        <w:t>муниципального образования Туапсинский район  (дети, находящиеся                     по социальному паспорту общеобразовательной организации в социально-незащищенных семьях  (в малообеспеченных семьях, не состоящих на учете              в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управлении социальной защиты; в неполных семьях (родители в разводе, потеря одного из родителей, одинокие матери, одинокие отцы, семьи в которых оба или один родитель не работают, состоящие на учете в центре занятости населения Туапсинского района; в семьях, в которых оба или один родитель инвалиды); находящиеся на внутришкольном профилактическом учете; находящиеся в группе риска, состоящие на психолого-педагогическом сопровождении;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отличники учебы; призеры, лауреаты, дипломанты, победители международных, всероссийских, областных, муниципальных олимпиад, конкурсов, фестивалей, соревнований; члены детских и молодежных общественных объединений и творческих коллективов, созданных на базе образовательных организаций, принимающие активное участие в деятельности  объединений и коллективов;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дети, родители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осваивающие образовательные программы дошкольного образования и обучающиеся в образовательных организациях муниципального образования Туапсинский район, подведомственных управлению образования администрации муниципального образования Туапсинский район, дети, находящиеся на иждивении участников специальной военной операции на территориях Луганской Народной Республики, Донецкой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Народной Республики, Запорожской области, Херсонской области и Украины, осваивающие образовательные программы дошкольного образования                          и обучающиеся в образовательных организациях муниципального образования Туапсинский район, подведомственных управлению образования администрации муниципального образования Туапсинский район (при наличии  свидетельства о заключении брака, либо вступившего в законную силу решения суда, подтверждающего факт нахождения на иждивении). 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F11D1">
        <w:rPr>
          <w:rFonts w:eastAsia="Calibri"/>
          <w:sz w:val="28"/>
          <w:szCs w:val="28"/>
          <w:lang w:eastAsia="en-US"/>
        </w:rPr>
        <w:t>C12 и старше - стоимость питания одного ребенка в возрасте                          от 12 и старше, согласно постановлению администрации муниципального образования Туапсинский район утверждающему нормы питания в денежном выражении на одного ребенка, пребывающего в профильных                              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 (рублей в день);</w:t>
      </w:r>
      <w:proofErr w:type="gramEnd"/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D1">
        <w:rPr>
          <w:rFonts w:eastAsia="Calibri"/>
          <w:sz w:val="28"/>
          <w:szCs w:val="28"/>
          <w:lang w:eastAsia="en-US"/>
        </w:rPr>
        <w:t>Pдн12 и старше - количество дней пребывания ребенка в возрасте                 от 12 и старше в профильных лагерях;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F11D1">
        <w:rPr>
          <w:rFonts w:eastAsia="Calibri"/>
          <w:sz w:val="28"/>
          <w:szCs w:val="28"/>
          <w:lang w:eastAsia="en-US"/>
        </w:rPr>
        <w:t xml:space="preserve">Oп - повышающий коэффициент на обеспечение доставки                                     и (или) приготовления готового питания для детей в размере 1,25                  (включаются расходы по выплате заработной платы работников, задействованных в профильных лагерях дневного пребывания организованных </w:t>
      </w:r>
      <w:r w:rsidRPr="007F11D1">
        <w:rPr>
          <w:rFonts w:eastAsia="Calibri"/>
          <w:sz w:val="28"/>
          <w:szCs w:val="28"/>
          <w:lang w:eastAsia="en-US"/>
        </w:rPr>
        <w:lastRenderedPageBreak/>
        <w:t>общеобразовательными организациями, подведомственными управлению образования администрации муниципального образования Туапсинский район, с отчислениями страховых взносов, транспортные расходы, включая ГСМ, ТО автотранспорта, медосмотр водителя, автостоянку транспортных средств, приобретение моющих, чистящих и дезинфицирующих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средств, одноразовой посуды для столовых буфетного типа, расходы на организацию проведения обследования на COVID-19 персонала, задействованного в организации профильных лагерей дневного пребывания)</w:t>
      </w:r>
      <w:proofErr w:type="gramStart"/>
      <w:r w:rsidRPr="007F11D1">
        <w:rPr>
          <w:rFonts w:eastAsia="Calibri"/>
          <w:sz w:val="28"/>
          <w:szCs w:val="28"/>
          <w:lang w:eastAsia="en-US"/>
        </w:rPr>
        <w:t>.»</w:t>
      </w:r>
      <w:proofErr w:type="gramEnd"/>
      <w:r w:rsidRPr="007F11D1">
        <w:rPr>
          <w:rFonts w:eastAsia="Calibri"/>
          <w:sz w:val="28"/>
          <w:szCs w:val="28"/>
          <w:lang w:eastAsia="en-US"/>
        </w:rPr>
        <w:t>.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D1">
        <w:rPr>
          <w:rFonts w:eastAsia="Calibri"/>
          <w:sz w:val="28"/>
          <w:szCs w:val="28"/>
          <w:lang w:eastAsia="en-US"/>
        </w:rPr>
        <w:t>2.</w:t>
      </w:r>
      <w:r w:rsidRPr="007F11D1">
        <w:rPr>
          <w:rFonts w:eastAsia="Calibri"/>
          <w:sz w:val="28"/>
          <w:szCs w:val="28"/>
          <w:lang w:eastAsia="en-US"/>
        </w:rPr>
        <w:tab/>
        <w:t>Опубликовать настоящее постановление в средстве массовой информации Туапсинского района – газете «Черноморье сегодня».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D1">
        <w:rPr>
          <w:rFonts w:eastAsia="Calibri"/>
          <w:sz w:val="28"/>
          <w:szCs w:val="28"/>
          <w:lang w:eastAsia="en-US"/>
        </w:rPr>
        <w:t>3.</w:t>
      </w:r>
      <w:r w:rsidRPr="007F11D1">
        <w:rPr>
          <w:rFonts w:eastAsia="Calibri"/>
          <w:sz w:val="28"/>
          <w:szCs w:val="28"/>
          <w:lang w:eastAsia="en-US"/>
        </w:rPr>
        <w:tab/>
      </w:r>
      <w:proofErr w:type="gramStart"/>
      <w:r w:rsidRPr="007F11D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        в информационно-телекоммуникационной сети «Интернет».</w:t>
      </w:r>
    </w:p>
    <w:p w:rsidR="007F11D1" w:rsidRPr="007F11D1" w:rsidRDefault="007F11D1" w:rsidP="007F11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D1">
        <w:rPr>
          <w:rFonts w:eastAsia="Calibri"/>
          <w:sz w:val="28"/>
          <w:szCs w:val="28"/>
          <w:lang w:eastAsia="en-US"/>
        </w:rPr>
        <w:t>4.</w:t>
      </w:r>
      <w:r w:rsidRPr="007F11D1">
        <w:rPr>
          <w:rFonts w:eastAsia="Calibri"/>
          <w:sz w:val="28"/>
          <w:szCs w:val="28"/>
          <w:lang w:eastAsia="en-US"/>
        </w:rPr>
        <w:tab/>
      </w:r>
      <w:proofErr w:type="gramStart"/>
      <w:r w:rsidRPr="007F11D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F11D1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         на заместителя главы администрации муниципального образования Туапсинский район Ачмизова А.Р.</w:t>
      </w:r>
    </w:p>
    <w:p w:rsidR="00A81EB9" w:rsidRPr="00A81EB9" w:rsidRDefault="007F11D1" w:rsidP="007F11D1">
      <w:pPr>
        <w:ind w:firstLine="709"/>
        <w:jc w:val="both"/>
        <w:rPr>
          <w:sz w:val="28"/>
          <w:szCs w:val="28"/>
        </w:rPr>
      </w:pPr>
      <w:r w:rsidRPr="007F11D1">
        <w:rPr>
          <w:rFonts w:eastAsia="Calibri"/>
          <w:sz w:val="28"/>
          <w:szCs w:val="28"/>
          <w:lang w:eastAsia="en-US"/>
        </w:rPr>
        <w:t>5.</w:t>
      </w:r>
      <w:r w:rsidRPr="007F11D1">
        <w:rPr>
          <w:rFonts w:eastAsia="Calibri"/>
          <w:sz w:val="28"/>
          <w:szCs w:val="28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A81EB9" w:rsidRPr="00A81EB9" w:rsidRDefault="00A81EB9" w:rsidP="00A81EB9">
      <w:pPr>
        <w:jc w:val="both"/>
        <w:rPr>
          <w:sz w:val="28"/>
          <w:szCs w:val="28"/>
        </w:rPr>
      </w:pPr>
    </w:p>
    <w:p w:rsidR="00A81EB9" w:rsidRPr="00A81EB9" w:rsidRDefault="00A81EB9" w:rsidP="00A81EB9">
      <w:pPr>
        <w:jc w:val="both"/>
        <w:rPr>
          <w:sz w:val="28"/>
          <w:szCs w:val="28"/>
        </w:rPr>
      </w:pPr>
    </w:p>
    <w:p w:rsidR="00A81EB9" w:rsidRPr="00A81EB9" w:rsidRDefault="00A81EB9" w:rsidP="00A81EB9">
      <w:pPr>
        <w:jc w:val="both"/>
        <w:rPr>
          <w:sz w:val="28"/>
          <w:szCs w:val="28"/>
        </w:rPr>
      </w:pPr>
      <w:r w:rsidRPr="00A81EB9">
        <w:rPr>
          <w:sz w:val="28"/>
          <w:szCs w:val="28"/>
        </w:rPr>
        <w:t xml:space="preserve">Глава </w:t>
      </w:r>
    </w:p>
    <w:p w:rsidR="00A81EB9" w:rsidRPr="00A81EB9" w:rsidRDefault="00A81EB9" w:rsidP="00A81EB9">
      <w:pPr>
        <w:jc w:val="both"/>
        <w:rPr>
          <w:sz w:val="28"/>
          <w:szCs w:val="28"/>
        </w:rPr>
      </w:pPr>
      <w:r w:rsidRPr="00A81EB9">
        <w:rPr>
          <w:sz w:val="28"/>
          <w:szCs w:val="28"/>
        </w:rPr>
        <w:t>муниципального образования</w:t>
      </w:r>
    </w:p>
    <w:p w:rsidR="00A81EB9" w:rsidRPr="00A81EB9" w:rsidRDefault="00A81EB9" w:rsidP="00A81EB9">
      <w:pPr>
        <w:tabs>
          <w:tab w:val="left" w:pos="0"/>
          <w:tab w:val="left" w:pos="7797"/>
        </w:tabs>
        <w:jc w:val="both"/>
        <w:rPr>
          <w:sz w:val="28"/>
          <w:szCs w:val="28"/>
        </w:rPr>
      </w:pPr>
      <w:r w:rsidRPr="00A81EB9">
        <w:rPr>
          <w:sz w:val="28"/>
          <w:szCs w:val="28"/>
        </w:rPr>
        <w:t>Туапсинский район</w:t>
      </w:r>
      <w:r w:rsidRPr="00A81EB9">
        <w:rPr>
          <w:sz w:val="28"/>
          <w:szCs w:val="28"/>
        </w:rPr>
        <w:tab/>
      </w:r>
      <w:r w:rsidR="00403FEA">
        <w:rPr>
          <w:sz w:val="28"/>
          <w:szCs w:val="28"/>
        </w:rPr>
        <w:t xml:space="preserve"> </w:t>
      </w:r>
      <w:r w:rsidRPr="00A81EB9">
        <w:rPr>
          <w:sz w:val="28"/>
          <w:szCs w:val="28"/>
        </w:rPr>
        <w:t xml:space="preserve">      С.А. Бойко</w:t>
      </w:r>
    </w:p>
    <w:p w:rsidR="00A81EB9" w:rsidRPr="00A81EB9" w:rsidRDefault="00A81EB9" w:rsidP="00A81EB9">
      <w:pPr>
        <w:ind w:left="2124" w:firstLine="708"/>
        <w:rPr>
          <w:b/>
          <w:spacing w:val="4"/>
          <w:sz w:val="28"/>
          <w:szCs w:val="28"/>
        </w:rPr>
      </w:pPr>
    </w:p>
    <w:p w:rsidR="00A81EB9" w:rsidRPr="00A81EB9" w:rsidRDefault="00A81EB9" w:rsidP="00A81EB9">
      <w:pPr>
        <w:ind w:left="2124" w:firstLine="708"/>
        <w:rPr>
          <w:b/>
          <w:spacing w:val="4"/>
          <w:sz w:val="28"/>
          <w:szCs w:val="28"/>
        </w:rPr>
      </w:pPr>
    </w:p>
    <w:p w:rsidR="00A81EB9" w:rsidRPr="00A81EB9" w:rsidRDefault="00A81EB9" w:rsidP="00A81EB9">
      <w:pPr>
        <w:ind w:left="2124" w:firstLine="708"/>
        <w:rPr>
          <w:b/>
          <w:spacing w:val="4"/>
          <w:sz w:val="28"/>
          <w:szCs w:val="28"/>
        </w:rPr>
      </w:pPr>
    </w:p>
    <w:p w:rsidR="00A81EB9" w:rsidRPr="00A81EB9" w:rsidRDefault="00A81EB9" w:rsidP="00A81EB9">
      <w:pPr>
        <w:ind w:left="2124" w:firstLine="708"/>
        <w:rPr>
          <w:b/>
          <w:spacing w:val="4"/>
          <w:sz w:val="28"/>
          <w:szCs w:val="28"/>
        </w:rPr>
      </w:pPr>
    </w:p>
    <w:p w:rsidR="00A81EB9" w:rsidRPr="00A81EB9" w:rsidRDefault="00A81EB9" w:rsidP="00A81EB9">
      <w:pPr>
        <w:ind w:left="2124" w:firstLine="708"/>
        <w:rPr>
          <w:b/>
          <w:spacing w:val="4"/>
          <w:sz w:val="28"/>
          <w:szCs w:val="28"/>
        </w:rPr>
      </w:pPr>
    </w:p>
    <w:p w:rsidR="00A81EB9" w:rsidRPr="00A81EB9" w:rsidRDefault="00A81EB9" w:rsidP="00A81EB9">
      <w:pPr>
        <w:ind w:left="2124" w:firstLine="708"/>
        <w:rPr>
          <w:b/>
          <w:spacing w:val="4"/>
          <w:sz w:val="28"/>
          <w:szCs w:val="28"/>
        </w:rPr>
      </w:pPr>
    </w:p>
    <w:p w:rsidR="00A81EB9" w:rsidRPr="00A81EB9" w:rsidRDefault="00A81EB9" w:rsidP="00A81EB9">
      <w:pPr>
        <w:ind w:left="2124" w:firstLine="708"/>
        <w:rPr>
          <w:b/>
          <w:spacing w:val="4"/>
          <w:sz w:val="28"/>
          <w:szCs w:val="28"/>
        </w:rPr>
      </w:pPr>
    </w:p>
    <w:sectPr w:rsidR="00A81EB9" w:rsidRPr="00A81EB9" w:rsidSect="00A81EB9">
      <w:headerReference w:type="even" r:id="rId9"/>
      <w:headerReference w:type="default" r:id="rId10"/>
      <w:headerReference w:type="first" r:id="rId11"/>
      <w:pgSz w:w="11906" w:h="16838"/>
      <w:pgMar w:top="1240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68" w:rsidRDefault="002E4168" w:rsidP="008B3911">
      <w:r>
        <w:separator/>
      </w:r>
    </w:p>
  </w:endnote>
  <w:endnote w:type="continuationSeparator" w:id="0">
    <w:p w:rsidR="002E4168" w:rsidRDefault="002E4168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68" w:rsidRDefault="002E4168" w:rsidP="008B3911">
      <w:r>
        <w:separator/>
      </w:r>
    </w:p>
  </w:footnote>
  <w:footnote w:type="continuationSeparator" w:id="0">
    <w:p w:rsidR="002E4168" w:rsidRDefault="002E4168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11D1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B64B94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6A1E8D45" wp14:editId="311E71B3">
          <wp:extent cx="641350" cy="800100"/>
          <wp:effectExtent l="0" t="0" r="0" b="0"/>
          <wp:docPr id="3" name="Рисунок 3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26ADC"/>
    <w:multiLevelType w:val="hybridMultilevel"/>
    <w:tmpl w:val="04C08B30"/>
    <w:lvl w:ilvl="0" w:tplc="45A4330E">
      <w:start w:val="5"/>
      <w:numFmt w:val="decimal"/>
      <w:lvlText w:val="%1."/>
      <w:lvlJc w:val="left"/>
      <w:pPr>
        <w:ind w:left="206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03FEA"/>
    <w:rsid w:val="00423EE1"/>
    <w:rsid w:val="00465586"/>
    <w:rsid w:val="00467E67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7F11D1"/>
    <w:rsid w:val="00813C9A"/>
    <w:rsid w:val="008204C8"/>
    <w:rsid w:val="00822974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1EB9"/>
    <w:rsid w:val="00A87727"/>
    <w:rsid w:val="00AA2AD7"/>
    <w:rsid w:val="00AB2DE1"/>
    <w:rsid w:val="00AB4A7C"/>
    <w:rsid w:val="00AC0CD7"/>
    <w:rsid w:val="00AE19F8"/>
    <w:rsid w:val="00B069C0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6212D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EDF5-706B-4148-AE46-1CEA3C44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1281</Words>
  <Characters>10664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uo75</cp:lastModifiedBy>
  <cp:revision>5</cp:revision>
  <cp:lastPrinted>2020-06-30T14:29:00Z</cp:lastPrinted>
  <dcterms:created xsi:type="dcterms:W3CDTF">2024-05-02T07:58:00Z</dcterms:created>
  <dcterms:modified xsi:type="dcterms:W3CDTF">2024-07-02T06:23:00Z</dcterms:modified>
</cp:coreProperties>
</file>