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ind w:firstLine="0" w:left="4961"/>
      </w:pPr>
      <w:r>
        <w:t>Начальнику управления экономического развития  администрации Туапсинского муниципального округа</w:t>
      </w:r>
    </w:p>
    <w:p w14:paraId="02000000">
      <w:pPr>
        <w:ind w:firstLine="0" w:left="4961"/>
      </w:pPr>
    </w:p>
    <w:p w14:paraId="03000000">
      <w:pPr>
        <w:ind w:firstLine="0" w:left="4961"/>
      </w:pPr>
      <w:r>
        <w:t>Стамбольжи М.А.</w:t>
      </w:r>
    </w:p>
    <w:p w14:paraId="04000000">
      <w:pPr>
        <w:ind/>
        <w:jc w:val="both"/>
        <w:rPr>
          <w:b w:val="1"/>
        </w:rPr>
      </w:pPr>
    </w:p>
    <w:p w14:paraId="05000000">
      <w:pPr>
        <w:ind/>
        <w:jc w:val="center"/>
        <w:rPr>
          <w:b w:val="1"/>
        </w:rPr>
      </w:pPr>
    </w:p>
    <w:p w14:paraId="06000000">
      <w:pPr>
        <w:ind/>
        <w:jc w:val="center"/>
        <w:rPr>
          <w:b w:val="1"/>
        </w:rPr>
      </w:pPr>
    </w:p>
    <w:p w14:paraId="07000000">
      <w:pPr>
        <w:ind/>
        <w:jc w:val="center"/>
        <w:rPr>
          <w:b w:val="1"/>
        </w:rPr>
      </w:pPr>
      <w:r>
        <w:rPr>
          <w:b w:val="1"/>
        </w:rPr>
        <w:t>Заключение</w:t>
      </w:r>
    </w:p>
    <w:p w14:paraId="08000000">
      <w:pPr>
        <w:ind/>
        <w:jc w:val="center"/>
        <w:rPr>
          <w:b w:val="0"/>
        </w:rPr>
      </w:pPr>
      <w:r>
        <w:t xml:space="preserve">по результатам экспертизы проекта постановления администрации Туапсинского муниципального округа </w:t>
      </w:r>
      <w:r>
        <w:t>«</w:t>
      </w:r>
      <w:r>
        <w:rPr>
          <w:b w:val="0"/>
          <w:sz w:val="28"/>
        </w:rPr>
        <w:t>Об определении размера средней рыночной стоимости</w:t>
      </w:r>
      <w:r>
        <w:rPr>
          <w:b w:val="0"/>
          <w:sz w:val="28"/>
        </w:rPr>
        <w:t xml:space="preserve"> </w:t>
      </w:r>
      <w:r>
        <w:rPr>
          <w:b w:val="0"/>
          <w:sz w:val="28"/>
        </w:rPr>
        <w:t xml:space="preserve">одного квадратного метра общей площади жилого помещения </w:t>
      </w:r>
      <w:r>
        <w:rPr>
          <w:b w:val="0"/>
          <w:sz w:val="28"/>
        </w:rPr>
        <w:t>на территории Туапсинск</w:t>
      </w:r>
      <w:r>
        <w:rPr>
          <w:b w:val="0"/>
          <w:sz w:val="28"/>
        </w:rPr>
        <w:t>ого</w:t>
      </w:r>
      <w:r>
        <w:rPr>
          <w:b w:val="0"/>
          <w:sz w:val="28"/>
        </w:rPr>
        <w:t xml:space="preserve"> </w:t>
      </w:r>
      <w:r>
        <w:rPr>
          <w:b w:val="0"/>
          <w:sz w:val="28"/>
        </w:rPr>
        <w:t>муниципальн</w:t>
      </w:r>
      <w:r>
        <w:rPr>
          <w:b w:val="0"/>
          <w:sz w:val="28"/>
        </w:rPr>
        <w:t>ого</w:t>
      </w:r>
      <w:r>
        <w:rPr>
          <w:b w:val="0"/>
          <w:sz w:val="28"/>
        </w:rPr>
        <w:t xml:space="preserve"> округ</w:t>
      </w:r>
      <w:r>
        <w:rPr>
          <w:b w:val="0"/>
          <w:sz w:val="28"/>
        </w:rPr>
        <w:t>а</w:t>
      </w:r>
      <w:r>
        <w:rPr>
          <w:b w:val="0"/>
          <w:sz w:val="28"/>
        </w:rPr>
        <w:t xml:space="preserve"> </w:t>
      </w:r>
      <w:r>
        <w:rPr>
          <w:b w:val="0"/>
          <w:sz w:val="28"/>
        </w:rPr>
        <w:t>в целях приобретения, строительства (в том числе участия в долевом с</w:t>
      </w:r>
      <w:r>
        <w:rPr>
          <w:b w:val="0"/>
          <w:sz w:val="28"/>
        </w:rPr>
        <w:t xml:space="preserve">троительстве) жилых </w:t>
      </w:r>
      <w:r>
        <w:rPr>
          <w:b w:val="0"/>
          <w:sz w:val="28"/>
        </w:rPr>
        <w:t>помещений для детей-сирот и детей, оставшихся без попечения родителей, лиц из числа детей-сирот и детей, оставшихся без</w:t>
      </w:r>
      <w:r>
        <w:rPr>
          <w:b w:val="0"/>
          <w:sz w:val="28"/>
        </w:rPr>
        <w:t xml:space="preserve"> попечения родителей, благоустроенными жилыми помещениями муниципального специализированного жилищного фонда</w:t>
      </w:r>
      <w:r>
        <w:rPr>
          <w:b w:val="0"/>
          <w:sz w:val="28"/>
        </w:rPr>
        <w:t xml:space="preserve"> </w:t>
      </w:r>
      <w:r>
        <w:rPr>
          <w:b w:val="0"/>
          <w:sz w:val="28"/>
        </w:rPr>
        <w:t xml:space="preserve"> по дого</w:t>
      </w:r>
      <w:r>
        <w:rPr>
          <w:b w:val="0"/>
          <w:sz w:val="28"/>
        </w:rPr>
        <w:t>ворам найма специали</w:t>
      </w:r>
      <w:r>
        <w:rPr>
          <w:b w:val="0"/>
          <w:sz w:val="28"/>
        </w:rPr>
        <w:t>зированных жилых помещений</w:t>
      </w:r>
    </w:p>
    <w:p w14:paraId="09000000">
      <w:pPr>
        <w:ind w:firstLine="0" w:left="851" w:right="849"/>
        <w:jc w:val="center"/>
        <w:rPr>
          <w:b w:val="1"/>
          <w:sz w:val="28"/>
        </w:rPr>
      </w:pPr>
      <w:r>
        <w:rPr>
          <w:b w:val="0"/>
          <w:sz w:val="28"/>
        </w:rPr>
        <w:t xml:space="preserve"> на </w:t>
      </w:r>
      <w:r>
        <w:rPr>
          <w:b w:val="0"/>
          <w:sz w:val="28"/>
        </w:rPr>
        <w:t>II</w:t>
      </w:r>
      <w:r>
        <w:rPr>
          <w:b w:val="0"/>
          <w:sz w:val="28"/>
        </w:rPr>
        <w:t xml:space="preserve"> квартал 202</w:t>
      </w:r>
      <w:r>
        <w:rPr>
          <w:b w:val="0"/>
          <w:sz w:val="28"/>
        </w:rPr>
        <w:t>5</w:t>
      </w:r>
      <w:r>
        <w:rPr>
          <w:b w:val="0"/>
          <w:sz w:val="28"/>
        </w:rPr>
        <w:t xml:space="preserve"> года»</w:t>
      </w:r>
    </w:p>
    <w:p w14:paraId="0A000000">
      <w:pPr>
        <w:rPr>
          <w:color w:val="000000"/>
          <w:sz w:val="28"/>
        </w:rPr>
      </w:pPr>
    </w:p>
    <w:p w14:paraId="0B000000">
      <w:pPr>
        <w:rPr>
          <w:color w:val="000000"/>
          <w:sz w:val="28"/>
        </w:rPr>
      </w:pPr>
    </w:p>
    <w:p w14:paraId="0C000000">
      <w:pPr>
        <w:ind w:firstLine="567" w:left="0"/>
        <w:jc w:val="both"/>
        <w:rPr>
          <w:color w:val="000000"/>
        </w:rPr>
      </w:pPr>
      <w:r>
        <w:t xml:space="preserve">Правовое управление администрации Туапсинского муниципального округа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Краснодарского края, рассмотрев проект постановления администрации муниципального образования Туапсинский муниципальный округ </w:t>
      </w:r>
      <w:r>
        <w:t>«</w:t>
      </w:r>
      <w:r>
        <w:rPr>
          <w:b w:val="0"/>
          <w:sz w:val="28"/>
        </w:rPr>
        <w:t>Об определении размера средней рыночной стоимости</w:t>
      </w:r>
      <w:r>
        <w:rPr>
          <w:b w:val="0"/>
          <w:sz w:val="28"/>
        </w:rPr>
        <w:t xml:space="preserve"> </w:t>
      </w:r>
      <w:r>
        <w:rPr>
          <w:b w:val="0"/>
          <w:sz w:val="28"/>
        </w:rPr>
        <w:t xml:space="preserve">одного квадратного метра общей площади жилого помещения </w:t>
      </w:r>
      <w:r>
        <w:rPr>
          <w:b w:val="0"/>
          <w:sz w:val="28"/>
        </w:rPr>
        <w:t>на территории Туапсинск</w:t>
      </w:r>
      <w:r>
        <w:rPr>
          <w:b w:val="0"/>
          <w:sz w:val="28"/>
        </w:rPr>
        <w:t>ого</w:t>
      </w:r>
      <w:r>
        <w:rPr>
          <w:b w:val="0"/>
          <w:sz w:val="28"/>
        </w:rPr>
        <w:t xml:space="preserve"> </w:t>
      </w:r>
      <w:r>
        <w:rPr>
          <w:b w:val="0"/>
          <w:sz w:val="28"/>
        </w:rPr>
        <w:t>муниципальн</w:t>
      </w:r>
      <w:r>
        <w:rPr>
          <w:b w:val="0"/>
          <w:sz w:val="28"/>
        </w:rPr>
        <w:t>ого</w:t>
      </w:r>
      <w:r>
        <w:rPr>
          <w:b w:val="0"/>
          <w:sz w:val="28"/>
        </w:rPr>
        <w:t xml:space="preserve"> округ</w:t>
      </w:r>
      <w:r>
        <w:rPr>
          <w:b w:val="0"/>
          <w:sz w:val="28"/>
        </w:rPr>
        <w:t>а</w:t>
      </w:r>
      <w:r>
        <w:rPr>
          <w:b w:val="0"/>
          <w:sz w:val="28"/>
        </w:rPr>
        <w:t xml:space="preserve"> </w:t>
      </w:r>
      <w:r>
        <w:rPr>
          <w:b w:val="0"/>
          <w:sz w:val="28"/>
        </w:rPr>
        <w:t>в целях приобретения, строительства (в том числе участия в долевом с</w:t>
      </w:r>
      <w:r>
        <w:rPr>
          <w:b w:val="0"/>
          <w:sz w:val="28"/>
        </w:rPr>
        <w:t xml:space="preserve">троительстве) жилых </w:t>
      </w:r>
      <w:r>
        <w:rPr>
          <w:b w:val="0"/>
          <w:sz w:val="28"/>
        </w:rPr>
        <w:t>помещений для детей-сирот и детей, оставшихся без попечения родителей, лиц из числа детей-сирот и детей, оставшихся без</w:t>
      </w:r>
      <w:r>
        <w:rPr>
          <w:b w:val="0"/>
          <w:sz w:val="28"/>
        </w:rPr>
        <w:t xml:space="preserve"> попечения родителей, благоустроенными жилыми помещениями муниципального специализированного жилищного фонда</w:t>
      </w:r>
      <w:r>
        <w:rPr>
          <w:b w:val="0"/>
          <w:sz w:val="28"/>
        </w:rPr>
        <w:t xml:space="preserve"> </w:t>
      </w:r>
      <w:r>
        <w:rPr>
          <w:b w:val="0"/>
          <w:sz w:val="28"/>
        </w:rPr>
        <w:t xml:space="preserve"> по дого</w:t>
      </w:r>
      <w:r>
        <w:rPr>
          <w:b w:val="0"/>
          <w:sz w:val="28"/>
        </w:rPr>
        <w:t>ворам найма специали</w:t>
      </w:r>
      <w:r>
        <w:rPr>
          <w:b w:val="0"/>
          <w:sz w:val="28"/>
        </w:rPr>
        <w:t>зированных жилых помещений</w:t>
      </w:r>
      <w:r>
        <w:rPr>
          <w:b w:val="0"/>
          <w:sz w:val="28"/>
        </w:rPr>
        <w:t xml:space="preserve"> на </w:t>
      </w:r>
      <w:r>
        <w:rPr>
          <w:b w:val="0"/>
          <w:sz w:val="28"/>
        </w:rPr>
        <w:t>II</w:t>
      </w:r>
      <w:r>
        <w:rPr>
          <w:b w:val="0"/>
          <w:sz w:val="28"/>
        </w:rPr>
        <w:t xml:space="preserve"> квартал 202</w:t>
      </w:r>
      <w:r>
        <w:rPr>
          <w:b w:val="0"/>
          <w:sz w:val="28"/>
        </w:rPr>
        <w:t>5</w:t>
      </w:r>
      <w:r>
        <w:rPr>
          <w:b w:val="0"/>
          <w:sz w:val="28"/>
        </w:rPr>
        <w:t xml:space="preserve"> года</w:t>
      </w:r>
      <w:r>
        <w:t>»</w:t>
      </w:r>
      <w:bookmarkStart w:id="1" w:name="_GoBack"/>
      <w:bookmarkEnd w:id="1"/>
      <w:r>
        <w:rPr>
          <w:b w:val="1"/>
        </w:rPr>
        <w:t xml:space="preserve">, </w:t>
      </w:r>
      <w:r>
        <w:t>поступивший из управления экономического развития администрации Туапсинского муниципального округа установил:</w:t>
      </w:r>
    </w:p>
    <w:p w14:paraId="0D000000">
      <w:pPr>
        <w:ind w:firstLine="567" w:left="0"/>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14:paraId="0E000000">
      <w:pPr>
        <w:ind w:firstLine="567" w:left="0"/>
        <w:jc w:val="both"/>
      </w:pPr>
      <w:r>
        <w:rPr>
          <w:sz w:val="28"/>
        </w:rPr>
        <w:t>законами Краснодарского края от 3 июня 2009 г.</w:t>
      </w:r>
      <w:r>
        <w:rPr>
          <w:sz w:val="28"/>
        </w:rPr>
        <w:t xml:space="preserve"> № 1748-КЗ «Об обеспечении дополнительных гарантий прав на имущество и жилое помещение детей-сирот</w:t>
      </w:r>
      <w:r>
        <w:rPr>
          <w:sz w:val="28"/>
        </w:rPr>
        <w:t xml:space="preserve"> и детей, оставших</w:t>
      </w:r>
      <w:r>
        <w:rPr>
          <w:sz w:val="28"/>
        </w:rPr>
        <w:t>ся без попечения родителей, в Краснодарском крае», от 15 декабря 2004 г. № 805-КЗ «О наделении органов местного самоуправлен</w:t>
      </w:r>
      <w:r>
        <w:rPr>
          <w:sz w:val="28"/>
        </w:rPr>
        <w:t>ия муниципальных образований Краснодарского края отдельными государственными полномочиями в области социальной сфе</w:t>
      </w:r>
      <w:r>
        <w:rPr>
          <w:sz w:val="28"/>
        </w:rPr>
        <w:t>ры», постановление</w:t>
      </w:r>
      <w:r>
        <w:rPr>
          <w:sz w:val="28"/>
        </w:rPr>
        <w:t>м главы администрации (губернатора) Краснодарского края от 2 ноября 2022 г. № 791 «О методике определения размера сред</w:t>
      </w:r>
      <w:r>
        <w:rPr>
          <w:sz w:val="28"/>
        </w:rPr>
        <w:t>ней рыночной стоимости одного квадратного метра общей площади жилого помещения для обеспечения детей-сирот и детей</w:t>
      </w:r>
      <w:r>
        <w:rPr>
          <w:sz w:val="28"/>
        </w:rPr>
        <w:t xml:space="preserve">, оставшихся без </w:t>
      </w:r>
      <w:r>
        <w:rPr>
          <w:sz w:val="28"/>
        </w:rPr>
        <w:t>попечения</w:t>
      </w:r>
      <w:r>
        <w:rPr>
          <w:sz w:val="28"/>
        </w:rPr>
        <w:t xml:space="preserve"> родителей, лиц из числа детей-сирот и детей, оставшихся без попечения родителей», в целях реализации мероприятий по</w:t>
      </w:r>
      <w:r>
        <w:rPr>
          <w:sz w:val="28"/>
        </w:rPr>
        <w:t xml:space="preserve"> обеспечению жилыми помещениями детей-сирот и детей, оставшихся без попечения родителей, лиц из числа детей-сирот </w:t>
      </w:r>
      <w:r>
        <w:rPr>
          <w:sz w:val="28"/>
        </w:rPr>
        <w:t>и детей, оставшихс</w:t>
      </w:r>
      <w:r>
        <w:rPr>
          <w:sz w:val="28"/>
        </w:rPr>
        <w:t>я без попечения родителей муниципальной программы «Управление муниципальной собственностью», утвержденной постановлением адм</w:t>
      </w:r>
      <w:r>
        <w:rPr>
          <w:sz w:val="28"/>
        </w:rPr>
        <w:t>инистрации муниципального образования Туапсинский район</w:t>
      </w:r>
      <w:r>
        <w:rPr>
          <w:sz w:val="28"/>
        </w:rPr>
        <w:t xml:space="preserve"> </w:t>
      </w:r>
      <w:r>
        <w:rPr>
          <w:sz w:val="28"/>
        </w:rPr>
        <w:t>от 30 декабря 2015 г. № 3002 «Об утверждении муниципальной</w:t>
      </w:r>
      <w:r>
        <w:rPr>
          <w:sz w:val="28"/>
        </w:rPr>
        <w:t xml:space="preserve"> </w:t>
      </w:r>
      <w:r>
        <w:rPr>
          <w:sz w:val="28"/>
        </w:rPr>
        <w:t>программы «Управление муниципальной собственностью»</w:t>
      </w:r>
      <w:r>
        <w:t>.</w:t>
      </w:r>
    </w:p>
    <w:p w14:paraId="0F000000">
      <w:pPr>
        <w:ind w:firstLine="567" w:left="0"/>
        <w:jc w:val="both"/>
      </w:pPr>
      <w:r>
        <w:t xml:space="preserve">2. Проект нормативного правового акта размещен на сайте администрации </w:t>
      </w:r>
      <w:r>
        <w:t>Туапсинского муниципального округа</w:t>
      </w:r>
      <w:r>
        <w:rPr>
          <w:color w:val="000000"/>
        </w:rPr>
        <w:t xml:space="preserve"> </w:t>
      </w:r>
      <w:r>
        <w:rPr>
          <w:rStyle w:val="Style_1_ch"/>
        </w:rPr>
        <w:fldChar w:fldCharType="begin"/>
      </w:r>
      <w:r>
        <w:rPr>
          <w:rStyle w:val="Style_1_ch"/>
        </w:rPr>
        <w:instrText>HYPERLINK "http://www.tuapseregion.ru/"</w:instrText>
      </w:r>
      <w:r>
        <w:rPr>
          <w:rStyle w:val="Style_1_ch"/>
        </w:rPr>
        <w:fldChar w:fldCharType="separate"/>
      </w:r>
      <w:r>
        <w:rPr>
          <w:rStyle w:val="Style_1_ch"/>
        </w:rPr>
        <w:t>www</w:t>
      </w:r>
      <w:r>
        <w:rPr>
          <w:rStyle w:val="Style_1_ch"/>
        </w:rPr>
        <w:t>.</w:t>
      </w:r>
      <w:r>
        <w:rPr>
          <w:rStyle w:val="Style_1_ch"/>
        </w:rPr>
        <w:t>tuapseregion</w:t>
      </w:r>
      <w:r>
        <w:rPr>
          <w:rStyle w:val="Style_1_ch"/>
        </w:rPr>
        <w:t>.</w:t>
      </w:r>
      <w:r>
        <w:rPr>
          <w:rStyle w:val="Style_1_ch"/>
        </w:rPr>
        <w:t>ru</w:t>
      </w:r>
      <w:r>
        <w:rPr>
          <w:rStyle w:val="Style_1_ch"/>
        </w:rPr>
        <w:fldChar w:fldCharType="end"/>
      </w:r>
      <w:r>
        <w:rPr>
          <w:color w:val="000000"/>
        </w:rPr>
        <w:t xml:space="preserve">, в разделе «Документы», подразделе «Антикоррупционная экспертиза нормативных правовых актов (проектов)» </w:t>
      </w:r>
      <w:r>
        <w:t xml:space="preserve">для проведения независимой антикоррупционной экспертизы. </w:t>
      </w:r>
    </w:p>
    <w:p w14:paraId="10000000">
      <w:pPr>
        <w:ind w:firstLine="567" w:left="0"/>
        <w:jc w:val="both"/>
      </w:pPr>
      <w:r>
        <w:t>3. В ходе антикоррупционной экспертизы проекта нормативного правового акта коррупциогенные факторы не обнаружены.</w:t>
      </w:r>
    </w:p>
    <w:p w14:paraId="11000000">
      <w:pPr>
        <w:ind w:firstLine="567" w:left="0"/>
        <w:jc w:val="both"/>
      </w:pPr>
      <w:r>
        <w:t>4. Проект нормативного правового акта может быть рекомендован для официального принятия.</w:t>
      </w:r>
    </w:p>
    <w:p w14:paraId="12000000"/>
    <w:p w14:paraId="13000000"/>
    <w:p w14:paraId="14000000">
      <w:r>
        <w:t>Начальник</w:t>
      </w:r>
    </w:p>
    <w:p w14:paraId="15000000">
      <w:r>
        <w:t>правового управления администрации</w:t>
      </w:r>
    </w:p>
    <w:p w14:paraId="16000000">
      <w:r>
        <w:t>Туапсинского муниципального округа                                               М.А.</w:t>
      </w:r>
      <w:r>
        <w:t xml:space="preserve"> </w:t>
      </w:r>
      <w:r>
        <w:t>Синенко</w:t>
      </w:r>
    </w:p>
    <w:p w14:paraId="17000000"/>
    <w:sectPr>
      <w:pgSz w:h="16838" w:orient="portrait" w:w="11906"/>
      <w:pgMar w:bottom="1134" w:footer="709" w:gutter="0" w:header="709" w:left="1701" w:right="567"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spacing w:after="0" w:line="240" w:lineRule="auto"/>
      <w:ind/>
    </w:pPr>
    <w:rPr>
      <w:rFonts w:ascii="Times New Roman" w:hAnsi="Times New Roman"/>
      <w:sz w:val="28"/>
    </w:rPr>
  </w:style>
  <w:style w:default="1" w:styleId="Style_2_ch" w:type="character">
    <w:name w:val="Normal"/>
    <w:link w:val="Style_2"/>
    <w:rPr>
      <w:rFonts w:ascii="Times New Roman" w:hAnsi="Times New Roman"/>
      <w:sz w:val="28"/>
    </w:rPr>
  </w:style>
  <w:style w:styleId="Style_3" w:type="paragraph">
    <w:name w:val="toc 2"/>
    <w:next w:val="Style_2"/>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toc 6"/>
    <w:next w:val="Style_2"/>
    <w:link w:val="Style_5_ch"/>
    <w:uiPriority w:val="39"/>
    <w:pPr>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2"/>
    <w:link w:val="Style_6_ch"/>
    <w:uiPriority w:val="39"/>
    <w:pPr>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Endnote"/>
    <w:link w:val="Style_7_ch"/>
    <w:pPr>
      <w:ind w:firstLine="851" w:left="0"/>
      <w:jc w:val="both"/>
    </w:pPr>
    <w:rPr>
      <w:rFonts w:ascii="XO Thames" w:hAnsi="XO Thames"/>
      <w:sz w:val="22"/>
    </w:rPr>
  </w:style>
  <w:style w:styleId="Style_7_ch" w:type="character">
    <w:name w:val="Endnote"/>
    <w:link w:val="Style_7"/>
    <w:rPr>
      <w:rFonts w:ascii="XO Thames" w:hAnsi="XO Thames"/>
      <w:sz w:val="22"/>
    </w:rPr>
  </w:style>
  <w:style w:styleId="Style_8" w:type="paragraph">
    <w:name w:val="heading 3"/>
    <w:next w:val="Style_2"/>
    <w:link w:val="Style_8_ch"/>
    <w:uiPriority w:val="9"/>
    <w:qFormat/>
    <w:pPr>
      <w:spacing w:after="120" w:before="120"/>
      <w:ind/>
      <w:jc w:val="both"/>
      <w:outlineLvl w:val="2"/>
    </w:pPr>
    <w:rPr>
      <w:rFonts w:ascii="XO Thames" w:hAnsi="XO Thames"/>
      <w:b w:val="1"/>
      <w:sz w:val="26"/>
    </w:rPr>
  </w:style>
  <w:style w:styleId="Style_8_ch" w:type="character">
    <w:name w:val="heading 3"/>
    <w:link w:val="Style_8"/>
    <w:rPr>
      <w:rFonts w:ascii="XO Thames" w:hAnsi="XO Thames"/>
      <w:b w:val="1"/>
      <w:sz w:val="26"/>
    </w:rPr>
  </w:style>
  <w:style w:styleId="Style_9" w:type="paragraph">
    <w:name w:val="ConsPlusNormal"/>
    <w:link w:val="Style_9_ch"/>
    <w:pPr>
      <w:widowControl w:val="0"/>
      <w:spacing w:after="0" w:line="240" w:lineRule="auto"/>
      <w:ind/>
    </w:pPr>
    <w:rPr>
      <w:rFonts w:ascii="Calibri" w:hAnsi="Calibri"/>
    </w:rPr>
  </w:style>
  <w:style w:styleId="Style_9_ch" w:type="character">
    <w:name w:val="ConsPlusNormal"/>
    <w:link w:val="Style_9"/>
    <w:rPr>
      <w:rFonts w:ascii="Calibri" w:hAnsi="Calibri"/>
    </w:rPr>
  </w:style>
  <w:style w:styleId="Style_10" w:type="paragraph">
    <w:name w:val="Strong"/>
    <w:link w:val="Style_10_ch"/>
    <w:rPr>
      <w:rFonts w:ascii="Times New Roman" w:hAnsi="Times New Roman"/>
      <w:b w:val="1"/>
    </w:rPr>
  </w:style>
  <w:style w:styleId="Style_10_ch" w:type="character">
    <w:name w:val="Strong"/>
    <w:link w:val="Style_10"/>
    <w:rPr>
      <w:rFonts w:ascii="Times New Roman" w:hAnsi="Times New Roman"/>
      <w:b w:val="1"/>
    </w:rPr>
  </w:style>
  <w:style w:styleId="Style_11" w:type="paragraph">
    <w:name w:val="toc 3"/>
    <w:next w:val="Style_2"/>
    <w:link w:val="Style_11_ch"/>
    <w:uiPriority w:val="39"/>
    <w:pPr>
      <w:ind w:firstLine="0" w:left="400"/>
      <w:jc w:val="left"/>
    </w:pPr>
    <w:rPr>
      <w:rFonts w:ascii="XO Thames" w:hAnsi="XO Thames"/>
      <w:sz w:val="28"/>
    </w:rPr>
  </w:style>
  <w:style w:styleId="Style_11_ch" w:type="character">
    <w:name w:val="toc 3"/>
    <w:link w:val="Style_11"/>
    <w:rPr>
      <w:rFonts w:ascii="XO Thames" w:hAnsi="XO Thames"/>
      <w:sz w:val="28"/>
    </w:rPr>
  </w:style>
  <w:style w:styleId="Style_12" w:type="paragraph">
    <w:name w:val="heading 5"/>
    <w:next w:val="Style_2"/>
    <w:link w:val="Style_12_ch"/>
    <w:uiPriority w:val="9"/>
    <w:qFormat/>
    <w:pPr>
      <w:spacing w:after="120" w:before="120"/>
      <w:ind/>
      <w:jc w:val="both"/>
      <w:outlineLvl w:val="4"/>
    </w:pPr>
    <w:rPr>
      <w:rFonts w:ascii="XO Thames" w:hAnsi="XO Thames"/>
      <w:b w:val="1"/>
      <w:sz w:val="22"/>
    </w:rPr>
  </w:style>
  <w:style w:styleId="Style_12_ch" w:type="character">
    <w:name w:val="heading 5"/>
    <w:link w:val="Style_12"/>
    <w:rPr>
      <w:rFonts w:ascii="XO Thames" w:hAnsi="XO Thames"/>
      <w:b w:val="1"/>
      <w:sz w:val="22"/>
    </w:rPr>
  </w:style>
  <w:style w:styleId="Style_13" w:type="paragraph">
    <w:name w:val="Balloon Text"/>
    <w:basedOn w:val="Style_2"/>
    <w:link w:val="Style_13_ch"/>
    <w:rPr>
      <w:rFonts w:ascii="Tahoma" w:hAnsi="Tahoma"/>
      <w:sz w:val="16"/>
    </w:rPr>
  </w:style>
  <w:style w:styleId="Style_13_ch" w:type="character">
    <w:name w:val="Balloon Text"/>
    <w:basedOn w:val="Style_2_ch"/>
    <w:link w:val="Style_13"/>
    <w:rPr>
      <w:rFonts w:ascii="Tahoma" w:hAnsi="Tahoma"/>
      <w:sz w:val="16"/>
    </w:rPr>
  </w:style>
  <w:style w:styleId="Style_14" w:type="paragraph">
    <w:name w:val="heading 1"/>
    <w:next w:val="Style_2"/>
    <w:link w:val="Style_14_ch"/>
    <w:uiPriority w:val="9"/>
    <w:qFormat/>
    <w:pPr>
      <w:spacing w:after="120" w:before="120"/>
      <w:ind/>
      <w:jc w:val="both"/>
      <w:outlineLvl w:val="0"/>
    </w:pPr>
    <w:rPr>
      <w:rFonts w:ascii="XO Thames" w:hAnsi="XO Thames"/>
      <w:b w:val="1"/>
      <w:sz w:val="32"/>
    </w:rPr>
  </w:style>
  <w:style w:styleId="Style_14_ch" w:type="character">
    <w:name w:val="heading 1"/>
    <w:link w:val="Style_14"/>
    <w:rPr>
      <w:rFonts w:ascii="XO Thames" w:hAnsi="XO Thames"/>
      <w:b w:val="1"/>
      <w:sz w:val="32"/>
    </w:rPr>
  </w:style>
  <w:style w:styleId="Style_1" w:type="paragraph">
    <w:name w:val="Hyperlink"/>
    <w:basedOn w:val="Style_15"/>
    <w:link w:val="Style_1_ch"/>
    <w:rPr>
      <w:color w:val="0000FF"/>
      <w:u w:val="single"/>
    </w:rPr>
  </w:style>
  <w:style w:styleId="Style_1_ch" w:type="character">
    <w:name w:val="Hyperlink"/>
    <w:basedOn w:val="Style_15_ch"/>
    <w:link w:val="Style_1"/>
    <w:rPr>
      <w:color w:val="0000FF"/>
      <w:u w:val="single"/>
    </w:rPr>
  </w:style>
  <w:style w:styleId="Style_16" w:type="paragraph">
    <w:name w:val="Footnote"/>
    <w:link w:val="Style_16_ch"/>
    <w:pPr>
      <w:ind w:firstLine="851" w:left="0"/>
      <w:jc w:val="both"/>
    </w:pPr>
    <w:rPr>
      <w:rFonts w:ascii="XO Thames" w:hAnsi="XO Thames"/>
      <w:sz w:val="22"/>
    </w:rPr>
  </w:style>
  <w:style w:styleId="Style_16_ch" w:type="character">
    <w:name w:val="Footnote"/>
    <w:link w:val="Style_16"/>
    <w:rPr>
      <w:rFonts w:ascii="XO Thames" w:hAnsi="XO Thames"/>
      <w:sz w:val="22"/>
    </w:rPr>
  </w:style>
  <w:style w:styleId="Style_17" w:type="paragraph">
    <w:name w:val="toc 1"/>
    <w:next w:val="Style_2"/>
    <w:link w:val="Style_17_ch"/>
    <w:uiPriority w:val="39"/>
    <w:pPr>
      <w:ind w:firstLine="0" w:left="0"/>
      <w:jc w:val="left"/>
    </w:pPr>
    <w:rPr>
      <w:rFonts w:ascii="XO Thames" w:hAnsi="XO Thames"/>
      <w:b w:val="1"/>
      <w:sz w:val="28"/>
    </w:rPr>
  </w:style>
  <w:style w:styleId="Style_17_ch" w:type="character">
    <w:name w:val="toc 1"/>
    <w:link w:val="Style_17"/>
    <w:rPr>
      <w:rFonts w:ascii="XO Thames" w:hAnsi="XO Thames"/>
      <w:b w:val="1"/>
      <w:sz w:val="28"/>
    </w:rPr>
  </w:style>
  <w:style w:styleId="Style_18" w:type="paragraph">
    <w:name w:val="Header and Footer"/>
    <w:link w:val="Style_18_ch"/>
    <w:pPr>
      <w:spacing w:line="240" w:lineRule="auto"/>
      <w:ind/>
      <w:jc w:val="both"/>
    </w:pPr>
    <w:rPr>
      <w:rFonts w:ascii="XO Thames" w:hAnsi="XO Thames"/>
      <w:sz w:val="28"/>
    </w:rPr>
  </w:style>
  <w:style w:styleId="Style_18_ch" w:type="character">
    <w:name w:val="Header and Footer"/>
    <w:link w:val="Style_18"/>
    <w:rPr>
      <w:rFonts w:ascii="XO Thames" w:hAnsi="XO Thames"/>
      <w:sz w:val="28"/>
    </w:rPr>
  </w:style>
  <w:style w:styleId="Style_19" w:type="paragraph">
    <w:name w:val="toc 9"/>
    <w:next w:val="Style_2"/>
    <w:link w:val="Style_19_ch"/>
    <w:uiPriority w:val="39"/>
    <w:pPr>
      <w:ind w:firstLine="0" w:left="1600"/>
      <w:jc w:val="left"/>
    </w:pPr>
    <w:rPr>
      <w:rFonts w:ascii="XO Thames" w:hAnsi="XO Thames"/>
      <w:sz w:val="28"/>
    </w:rPr>
  </w:style>
  <w:style w:styleId="Style_19_ch" w:type="character">
    <w:name w:val="toc 9"/>
    <w:link w:val="Style_19"/>
    <w:rPr>
      <w:rFonts w:ascii="XO Thames" w:hAnsi="XO Thames"/>
      <w:sz w:val="28"/>
    </w:rPr>
  </w:style>
  <w:style w:styleId="Style_15" w:type="paragraph">
    <w:name w:val="Default Paragraph Font"/>
    <w:link w:val="Style_15_ch"/>
  </w:style>
  <w:style w:styleId="Style_15_ch" w:type="character">
    <w:name w:val="Default Paragraph Font"/>
    <w:link w:val="Style_15"/>
  </w:style>
  <w:style w:styleId="Style_20" w:type="paragraph">
    <w:name w:val="toc 8"/>
    <w:next w:val="Style_2"/>
    <w:link w:val="Style_20_ch"/>
    <w:uiPriority w:val="39"/>
    <w:pPr>
      <w:ind w:firstLine="0" w:left="1400"/>
      <w:jc w:val="left"/>
    </w:pPr>
    <w:rPr>
      <w:rFonts w:ascii="XO Thames" w:hAnsi="XO Thames"/>
      <w:sz w:val="28"/>
    </w:rPr>
  </w:style>
  <w:style w:styleId="Style_20_ch" w:type="character">
    <w:name w:val="toc 8"/>
    <w:link w:val="Style_20"/>
    <w:rPr>
      <w:rFonts w:ascii="XO Thames" w:hAnsi="XO Thames"/>
      <w:sz w:val="28"/>
    </w:rPr>
  </w:style>
  <w:style w:styleId="Style_21" w:type="paragraph">
    <w:name w:val="toc 5"/>
    <w:next w:val="Style_2"/>
    <w:link w:val="Style_21_ch"/>
    <w:uiPriority w:val="39"/>
    <w:pPr>
      <w:ind w:firstLine="0" w:left="800"/>
      <w:jc w:val="left"/>
    </w:pPr>
    <w:rPr>
      <w:rFonts w:ascii="XO Thames" w:hAnsi="XO Thames"/>
      <w:sz w:val="28"/>
    </w:rPr>
  </w:style>
  <w:style w:styleId="Style_21_ch" w:type="character">
    <w:name w:val="toc 5"/>
    <w:link w:val="Style_21"/>
    <w:rPr>
      <w:rFonts w:ascii="XO Thames" w:hAnsi="XO Thames"/>
      <w:sz w:val="28"/>
    </w:rPr>
  </w:style>
  <w:style w:styleId="Style_22" w:type="paragraph">
    <w:name w:val="Subtitle"/>
    <w:next w:val="Style_2"/>
    <w:link w:val="Style_22_ch"/>
    <w:uiPriority w:val="11"/>
    <w:qFormat/>
    <w:pPr>
      <w:ind/>
      <w:jc w:val="both"/>
    </w:pPr>
    <w:rPr>
      <w:rFonts w:ascii="XO Thames" w:hAnsi="XO Thames"/>
      <w:i w:val="1"/>
      <w:sz w:val="24"/>
    </w:rPr>
  </w:style>
  <w:style w:styleId="Style_22_ch" w:type="character">
    <w:name w:val="Subtitle"/>
    <w:link w:val="Style_22"/>
    <w:rPr>
      <w:rFonts w:ascii="XO Thames" w:hAnsi="XO Thames"/>
      <w:i w:val="1"/>
      <w:sz w:val="24"/>
    </w:rPr>
  </w:style>
  <w:style w:styleId="Style_23" w:type="paragraph">
    <w:name w:val="Normal (Web)"/>
    <w:basedOn w:val="Style_2"/>
    <w:link w:val="Style_23_ch"/>
    <w:rPr>
      <w:sz w:val="24"/>
    </w:rPr>
  </w:style>
  <w:style w:styleId="Style_23_ch" w:type="character">
    <w:name w:val="Normal (Web)"/>
    <w:basedOn w:val="Style_2_ch"/>
    <w:link w:val="Style_23"/>
    <w:rPr>
      <w:sz w:val="24"/>
    </w:rPr>
  </w:style>
  <w:style w:styleId="Style_24" w:type="paragraph">
    <w:name w:val="Title"/>
    <w:next w:val="Style_2"/>
    <w:link w:val="Style_24_ch"/>
    <w:uiPriority w:val="10"/>
    <w:qFormat/>
    <w:pPr>
      <w:spacing w:after="567" w:before="567"/>
      <w:ind/>
      <w:jc w:val="center"/>
    </w:pPr>
    <w:rPr>
      <w:rFonts w:ascii="XO Thames" w:hAnsi="XO Thames"/>
      <w:b w:val="1"/>
      <w:caps w:val="1"/>
      <w:sz w:val="40"/>
    </w:rPr>
  </w:style>
  <w:style w:styleId="Style_24_ch" w:type="character">
    <w:name w:val="Title"/>
    <w:link w:val="Style_24"/>
    <w:rPr>
      <w:rFonts w:ascii="XO Thames" w:hAnsi="XO Thames"/>
      <w:b w:val="1"/>
      <w:caps w:val="1"/>
      <w:sz w:val="40"/>
    </w:rPr>
  </w:style>
  <w:style w:styleId="Style_25" w:type="paragraph">
    <w:name w:val="heading 4"/>
    <w:next w:val="Style_2"/>
    <w:link w:val="Style_25_ch"/>
    <w:uiPriority w:val="9"/>
    <w:qFormat/>
    <w:pPr>
      <w:spacing w:after="120" w:before="120"/>
      <w:ind/>
      <w:jc w:val="both"/>
      <w:outlineLvl w:val="3"/>
    </w:pPr>
    <w:rPr>
      <w:rFonts w:ascii="XO Thames" w:hAnsi="XO Thames"/>
      <w:b w:val="1"/>
      <w:sz w:val="24"/>
    </w:rPr>
  </w:style>
  <w:style w:styleId="Style_25_ch" w:type="character">
    <w:name w:val="heading 4"/>
    <w:link w:val="Style_25"/>
    <w:rPr>
      <w:rFonts w:ascii="XO Thames" w:hAnsi="XO Thames"/>
      <w:b w:val="1"/>
      <w:sz w:val="24"/>
    </w:rPr>
  </w:style>
  <w:style w:styleId="Style_26" w:type="paragraph">
    <w:name w:val="heading 2"/>
    <w:next w:val="Style_2"/>
    <w:link w:val="Style_26_ch"/>
    <w:uiPriority w:val="9"/>
    <w:qFormat/>
    <w:pPr>
      <w:spacing w:after="120" w:before="120"/>
      <w:ind/>
      <w:jc w:val="both"/>
      <w:outlineLvl w:val="1"/>
    </w:pPr>
    <w:rPr>
      <w:rFonts w:ascii="XO Thames" w:hAnsi="XO Thames"/>
      <w:b w:val="1"/>
      <w:sz w:val="28"/>
    </w:rPr>
  </w:style>
  <w:style w:styleId="Style_26_ch" w:type="character">
    <w:name w:val="heading 2"/>
    <w:link w:val="Style_26"/>
    <w:rPr>
      <w:rFonts w:ascii="XO Thames" w:hAnsi="XO Thames"/>
      <w:b w:val="1"/>
      <w:sz w:val="28"/>
    </w:rPr>
  </w:style>
  <w:style w:styleId="Style_27" w:type="table">
    <w:name w:val="Table Grid"/>
    <w:basedOn w:val="Style_28"/>
    <w:pPr>
      <w:spacing w:after="0" w:line="240" w:lineRule="auto"/>
      <w:ind/>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default="1" w:styleId="Style_28"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MyOffice-CoreFramework-Linux/32-1208.815.9166.836.1@c028b4579ab889516ede6e689f46f6dad43bf900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2025-05-30T14:30:48Z</dcterms:modified>
</cp:coreProperties>
</file>