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  <w:r w:rsidR="00AA0BD5" w:rsidRPr="00AA0BD5">
        <w:t xml:space="preserve"> </w:t>
      </w:r>
      <w:proofErr w:type="gramStart"/>
      <w:r w:rsidR="00AA0BD5" w:rsidRPr="00AA0BD5">
        <w:t>–</w:t>
      </w:r>
      <w:r w:rsidR="00AA0BD5">
        <w:t>г</w:t>
      </w:r>
      <w:proofErr w:type="gramEnd"/>
      <w:r w:rsidR="00AA0BD5">
        <w:t xml:space="preserve">лавному архитектору </w:t>
      </w:r>
      <w:r w:rsidRPr="009A4D77">
        <w:t>администрации муниципального</w:t>
      </w:r>
      <w:r w:rsidR="00AA0BD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90C98" w:rsidRDefault="00642D86" w:rsidP="00D90C98">
      <w:pPr>
        <w:ind w:left="993" w:right="991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E05A38" w:rsidRDefault="00E05A38" w:rsidP="00E05A38">
      <w:pPr>
        <w:ind w:right="-284"/>
        <w:jc w:val="center"/>
      </w:pPr>
      <w:r>
        <w:t>«</w:t>
      </w:r>
      <w:r>
        <w:t xml:space="preserve">О внесении изменения в решение Совета муниципального образования Туапсинский район от 27 июня 2014 г. № 128 </w:t>
      </w:r>
      <w:r>
        <w:t xml:space="preserve"> </w:t>
      </w:r>
      <w:r>
        <w:t xml:space="preserve">«Об утверждении правил землепользования и застройки </w:t>
      </w:r>
      <w:proofErr w:type="spellStart"/>
      <w:r>
        <w:t>Тенгинского</w:t>
      </w:r>
      <w:proofErr w:type="spellEnd"/>
      <w:r>
        <w:t xml:space="preserve"> сельского поселения Туапсинского района </w:t>
      </w:r>
      <w:r>
        <w:t xml:space="preserve"> </w:t>
      </w:r>
      <w:r>
        <w:t>Краснодарского края»</w:t>
      </w:r>
    </w:p>
    <w:p w:rsidR="00E05A38" w:rsidRDefault="00E05A38" w:rsidP="00E05A38">
      <w:pPr>
        <w:ind w:right="-284"/>
      </w:pPr>
    </w:p>
    <w:p w:rsidR="00D90C98" w:rsidRPr="00D90C98" w:rsidRDefault="00D90C98" w:rsidP="00D90C98">
      <w:pPr>
        <w:ind w:right="-284"/>
        <w:rPr>
          <w:bCs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E05A38" w:rsidRPr="00E05A38">
        <w:t>«О внесении изменения в решение Совета муниципального образования Туапсинский район от 27 июня 2014 г. № 128  «Об утверждении правил землепользования и застройки</w:t>
      </w:r>
      <w:proofErr w:type="gramEnd"/>
      <w:r w:rsidR="00E05A38" w:rsidRPr="00E05A38">
        <w:t xml:space="preserve"> </w:t>
      </w:r>
      <w:proofErr w:type="spellStart"/>
      <w:r w:rsidR="00E05A38" w:rsidRPr="00E05A38">
        <w:t>Тенгинского</w:t>
      </w:r>
      <w:proofErr w:type="spellEnd"/>
      <w:r w:rsidR="00E05A38" w:rsidRPr="00E05A38">
        <w:t xml:space="preserve"> сельского поселения Туапсинского района 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E05A38" w:rsidP="00E05A38">
      <w:pPr>
        <w:ind w:right="-1" w:firstLine="567"/>
        <w:jc w:val="both"/>
      </w:pPr>
      <w:proofErr w:type="gramStart"/>
      <w: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</w:t>
      </w:r>
      <w:proofErr w:type="gramEnd"/>
      <w:r>
        <w:t xml:space="preserve"> </w:t>
      </w:r>
      <w:proofErr w:type="gramStart"/>
      <w:r>
        <w:t xml:space="preserve">муниципальный округ Краснодарского края от 20 декабря 2024 г. № 117 «О правопреемстве администрации муниципального образования Туапсинский </w:t>
      </w:r>
      <w:r>
        <w:lastRenderedPageBreak/>
        <w:t xml:space="preserve">муниципальный округ Краснодарского края», Уставом муниципального образования Туапсинский муниципальный округ Краснодарского края, </w:t>
      </w:r>
      <w:r w:rsidR="00E13279">
        <w:t>письмом</w:t>
      </w:r>
      <w:bookmarkStart w:id="0" w:name="_GoBack"/>
      <w:bookmarkEnd w:id="0"/>
      <w:r>
        <w:t xml:space="preserve"> министерства курортов, туризма и олимпийского наследия Краснодарского края от 6 мая 2024 г. № 44-01-15-3690/24, заключения о результатах проведения общественных обсуждений по вопросам градостроительной деятельности</w:t>
      </w:r>
      <w:r w:rsidR="00D90C98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AA0BD5"/>
    <w:rsid w:val="00BF66CE"/>
    <w:rsid w:val="00C37172"/>
    <w:rsid w:val="00D654BD"/>
    <w:rsid w:val="00D71F9F"/>
    <w:rsid w:val="00D90C98"/>
    <w:rsid w:val="00E05A38"/>
    <w:rsid w:val="00E13279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16DB-CFF8-42DD-AC82-3D24CCF0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2025-03-18T08:20:00Z</cp:lastPrinted>
  <dcterms:created xsi:type="dcterms:W3CDTF">2025-03-18T08:21:00Z</dcterms:created>
  <dcterms:modified xsi:type="dcterms:W3CDTF">2025-03-18T08:21:00Z</dcterms:modified>
</cp:coreProperties>
</file>