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6A7CEF" w:rsidTr="005E5921">
        <w:trPr>
          <w:trHeight w:val="940"/>
        </w:trPr>
        <w:tc>
          <w:tcPr>
            <w:tcW w:w="5200" w:type="dxa"/>
            <w:hideMark/>
          </w:tcPr>
          <w:p w:rsidR="006A7CEF" w:rsidRDefault="006A7CEF" w:rsidP="005E5921">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6A7CEF" w:rsidRDefault="006A7CEF" w:rsidP="005E5921">
            <w:pPr>
              <w:spacing w:line="322" w:lineRule="exact"/>
              <w:ind w:right="-108"/>
              <w:jc w:val="both"/>
              <w:rPr>
                <w:bCs/>
                <w:sz w:val="28"/>
                <w:szCs w:val="28"/>
                <w:lang w:eastAsia="en-US"/>
              </w:rPr>
            </w:pPr>
          </w:p>
          <w:p w:rsidR="006A7CEF" w:rsidRDefault="006A7CEF" w:rsidP="005E5921">
            <w:pPr>
              <w:spacing w:line="322" w:lineRule="exact"/>
              <w:ind w:right="-108"/>
              <w:jc w:val="both"/>
              <w:rPr>
                <w:bCs/>
                <w:sz w:val="28"/>
                <w:szCs w:val="28"/>
                <w:lang w:eastAsia="en-US"/>
              </w:rPr>
            </w:pPr>
          </w:p>
          <w:p w:rsidR="006A7CEF" w:rsidRDefault="006A7CEF" w:rsidP="005E5921">
            <w:pPr>
              <w:spacing w:line="322" w:lineRule="exact"/>
              <w:ind w:right="-108"/>
              <w:jc w:val="right"/>
              <w:rPr>
                <w:bCs/>
                <w:sz w:val="28"/>
                <w:szCs w:val="28"/>
                <w:lang w:eastAsia="en-US"/>
              </w:rPr>
            </w:pPr>
          </w:p>
        </w:tc>
      </w:tr>
      <w:tr w:rsidR="006A7CEF" w:rsidTr="005E5921">
        <w:trPr>
          <w:trHeight w:val="173"/>
        </w:trPr>
        <w:tc>
          <w:tcPr>
            <w:tcW w:w="5200" w:type="dxa"/>
            <w:hideMark/>
          </w:tcPr>
          <w:p w:rsidR="006A7CEF" w:rsidRDefault="006A7CEF" w:rsidP="005E5921">
            <w:pPr>
              <w:spacing w:line="322" w:lineRule="exact"/>
              <w:ind w:right="72"/>
              <w:jc w:val="both"/>
              <w:rPr>
                <w:bCs/>
                <w:sz w:val="28"/>
                <w:szCs w:val="28"/>
                <w:lang w:eastAsia="en-US"/>
              </w:rPr>
            </w:pPr>
            <w:proofErr w:type="spellStart"/>
            <w:r>
              <w:rPr>
                <w:bCs/>
                <w:sz w:val="28"/>
                <w:szCs w:val="28"/>
                <w:lang w:eastAsia="en-US"/>
              </w:rPr>
              <w:t>Г.В.Мазунину</w:t>
            </w:r>
            <w:proofErr w:type="spellEnd"/>
          </w:p>
        </w:tc>
        <w:tc>
          <w:tcPr>
            <w:tcW w:w="2476" w:type="dxa"/>
          </w:tcPr>
          <w:p w:rsidR="006A7CEF" w:rsidRDefault="006A7CEF" w:rsidP="005E5921">
            <w:pPr>
              <w:spacing w:line="322" w:lineRule="exact"/>
              <w:ind w:right="-108"/>
              <w:jc w:val="both"/>
              <w:rPr>
                <w:bCs/>
                <w:sz w:val="28"/>
                <w:szCs w:val="28"/>
                <w:lang w:eastAsia="en-US"/>
              </w:rPr>
            </w:pPr>
          </w:p>
        </w:tc>
      </w:tr>
    </w:tbl>
    <w:p w:rsidR="006A7CEF" w:rsidRDefault="006A7CEF" w:rsidP="006A7CEF">
      <w:pPr>
        <w:tabs>
          <w:tab w:val="left" w:pos="360"/>
        </w:tabs>
        <w:jc w:val="center"/>
        <w:rPr>
          <w:sz w:val="28"/>
          <w:szCs w:val="28"/>
          <w:lang w:eastAsia="ar-SA"/>
        </w:rPr>
      </w:pPr>
    </w:p>
    <w:p w:rsidR="00DD7834" w:rsidRDefault="00DD7834" w:rsidP="006A7CEF">
      <w:pPr>
        <w:tabs>
          <w:tab w:val="left" w:pos="360"/>
        </w:tabs>
        <w:jc w:val="center"/>
        <w:rPr>
          <w:sz w:val="28"/>
          <w:szCs w:val="28"/>
          <w:lang w:eastAsia="ar-SA"/>
        </w:rPr>
      </w:pPr>
    </w:p>
    <w:p w:rsidR="006A7CEF" w:rsidRDefault="006A7CEF" w:rsidP="006A7CEF">
      <w:pPr>
        <w:tabs>
          <w:tab w:val="left" w:pos="360"/>
        </w:tabs>
        <w:jc w:val="center"/>
        <w:rPr>
          <w:b/>
          <w:sz w:val="28"/>
          <w:szCs w:val="28"/>
        </w:rPr>
      </w:pPr>
      <w:r>
        <w:rPr>
          <w:sz w:val="28"/>
          <w:szCs w:val="28"/>
          <w:lang w:eastAsia="ar-SA"/>
        </w:rPr>
        <w:t xml:space="preserve"> </w:t>
      </w:r>
      <w:r>
        <w:rPr>
          <w:b/>
          <w:sz w:val="28"/>
          <w:szCs w:val="28"/>
        </w:rPr>
        <w:t>Заключение</w:t>
      </w:r>
    </w:p>
    <w:p w:rsidR="006A7CEF" w:rsidRPr="00A76751" w:rsidRDefault="006A7CEF" w:rsidP="006A7CEF">
      <w:pPr>
        <w:jc w:val="center"/>
        <w:rPr>
          <w:sz w:val="28"/>
          <w:szCs w:val="28"/>
        </w:rPr>
      </w:pPr>
      <w:r w:rsidRPr="00A76751">
        <w:rPr>
          <w:sz w:val="28"/>
          <w:szCs w:val="28"/>
        </w:rPr>
        <w:t>по результатам экспертизы проекта постановления адми</w:t>
      </w:r>
      <w:r>
        <w:rPr>
          <w:sz w:val="28"/>
          <w:szCs w:val="28"/>
        </w:rPr>
        <w:t xml:space="preserve">нистрации МО Туапсинский район </w:t>
      </w:r>
      <w:r w:rsidRPr="00A76751">
        <w:rPr>
          <w:sz w:val="28"/>
          <w:szCs w:val="28"/>
        </w:rPr>
        <w:t xml:space="preserve">«О порядке проведения </w:t>
      </w:r>
      <w:r>
        <w:rPr>
          <w:sz w:val="28"/>
          <w:szCs w:val="28"/>
        </w:rPr>
        <w:t xml:space="preserve">торгов на выполнение работ по перемещению задержанных транспортных средств на специализированные стоянки и (или) по хранению задержанных транспортных средств на специализированных стоянках и их возврату на территории </w:t>
      </w:r>
      <w:r w:rsidRPr="00A76751">
        <w:rPr>
          <w:sz w:val="28"/>
          <w:szCs w:val="28"/>
        </w:rPr>
        <w:t>Туапсинск</w:t>
      </w:r>
      <w:r>
        <w:rPr>
          <w:sz w:val="28"/>
          <w:szCs w:val="28"/>
        </w:rPr>
        <w:t xml:space="preserve">ого </w:t>
      </w:r>
      <w:r w:rsidRPr="00A76751">
        <w:rPr>
          <w:sz w:val="28"/>
          <w:szCs w:val="28"/>
        </w:rPr>
        <w:t xml:space="preserve"> район</w:t>
      </w:r>
      <w:r>
        <w:rPr>
          <w:sz w:val="28"/>
          <w:szCs w:val="28"/>
        </w:rPr>
        <w:t>а</w:t>
      </w:r>
      <w:r w:rsidRPr="00A76751">
        <w:rPr>
          <w:sz w:val="28"/>
          <w:szCs w:val="28"/>
        </w:rPr>
        <w:t>»</w:t>
      </w:r>
    </w:p>
    <w:p w:rsidR="006A7CEF" w:rsidRDefault="006A7CEF" w:rsidP="006A7CEF">
      <w:pPr>
        <w:tabs>
          <w:tab w:val="left" w:pos="709"/>
        </w:tabs>
        <w:suppressAutoHyphens/>
        <w:ind w:firstLine="708"/>
        <w:jc w:val="center"/>
        <w:rPr>
          <w:bCs/>
          <w:sz w:val="28"/>
          <w:szCs w:val="28"/>
        </w:rPr>
      </w:pPr>
      <w:bookmarkStart w:id="0" w:name="_GoBack"/>
      <w:bookmarkEnd w:id="0"/>
    </w:p>
    <w:p w:rsidR="006A7CEF" w:rsidRDefault="006A7CEF" w:rsidP="006A7CEF">
      <w:pPr>
        <w:jc w:val="both"/>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A76751">
        <w:rPr>
          <w:sz w:val="28"/>
          <w:szCs w:val="28"/>
        </w:rPr>
        <w:t xml:space="preserve">О порядке проведения </w:t>
      </w:r>
      <w:r>
        <w:rPr>
          <w:sz w:val="28"/>
          <w:szCs w:val="28"/>
        </w:rPr>
        <w:t>торгов на выполнение работ по перемещению задержанных транспортных средств на специализированные стоянки и (или) по хранению задержанных транспортных средств на специализированных стоянках и их возврату на</w:t>
      </w:r>
      <w:proofErr w:type="gramEnd"/>
      <w:r>
        <w:rPr>
          <w:sz w:val="28"/>
          <w:szCs w:val="28"/>
        </w:rPr>
        <w:t xml:space="preserve"> территории </w:t>
      </w:r>
      <w:r w:rsidRPr="00A76751">
        <w:rPr>
          <w:sz w:val="28"/>
          <w:szCs w:val="28"/>
        </w:rPr>
        <w:t>Туапсинск</w:t>
      </w:r>
      <w:r>
        <w:rPr>
          <w:sz w:val="28"/>
          <w:szCs w:val="28"/>
        </w:rPr>
        <w:t xml:space="preserve">ого </w:t>
      </w:r>
      <w:r w:rsidRPr="00A76751">
        <w:rPr>
          <w:sz w:val="28"/>
          <w:szCs w:val="28"/>
        </w:rPr>
        <w:t xml:space="preserve"> район</w:t>
      </w:r>
      <w:r>
        <w:rPr>
          <w:sz w:val="28"/>
          <w:szCs w:val="28"/>
        </w:rPr>
        <w:t>а</w:t>
      </w:r>
      <w:r>
        <w:rPr>
          <w:bCs/>
          <w:sz w:val="28"/>
          <w:szCs w:val="28"/>
        </w:rPr>
        <w:t>»,</w:t>
      </w:r>
      <w:r>
        <w:rPr>
          <w:sz w:val="28"/>
          <w:szCs w:val="28"/>
        </w:rPr>
        <w:t xml:space="preserve">   поступивший  </w:t>
      </w:r>
      <w:r>
        <w:rPr>
          <w:bCs/>
          <w:sz w:val="28"/>
          <w:szCs w:val="28"/>
        </w:rPr>
        <w:t>управления транспорта и связи</w:t>
      </w:r>
      <w:r>
        <w:rPr>
          <w:sz w:val="28"/>
          <w:szCs w:val="28"/>
        </w:rPr>
        <w:t xml:space="preserve"> из  администрации  МО  Туапсинский   район   установил:</w:t>
      </w:r>
    </w:p>
    <w:p w:rsidR="006A7CEF" w:rsidRPr="00341D87" w:rsidRDefault="006A7CEF" w:rsidP="006A7CEF">
      <w:pPr>
        <w:ind w:firstLine="567"/>
        <w:jc w:val="both"/>
        <w:rPr>
          <w:sz w:val="28"/>
          <w:szCs w:val="28"/>
        </w:rPr>
      </w:pPr>
      <w:r w:rsidRPr="00341D8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A7CEF" w:rsidRDefault="006A7CEF" w:rsidP="006A7CEF">
      <w:pPr>
        <w:ind w:firstLine="567"/>
        <w:jc w:val="both"/>
        <w:rPr>
          <w:rFonts w:eastAsia="Calibri"/>
          <w:bCs/>
          <w:sz w:val="28"/>
          <w:szCs w:val="28"/>
          <w:lang w:eastAsia="en-US"/>
        </w:rPr>
      </w:pPr>
      <w:proofErr w:type="gramStart"/>
      <w:r w:rsidRPr="00341D87">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bCs/>
          <w:sz w:val="28"/>
          <w:szCs w:val="28"/>
          <w:lang w:eastAsia="en-US"/>
        </w:rPr>
        <w:t>»,</w:t>
      </w:r>
      <w:r w:rsidRPr="00516EB3">
        <w:rPr>
          <w:sz w:val="28"/>
          <w:szCs w:val="28"/>
        </w:rPr>
        <w:t xml:space="preserve"> </w:t>
      </w:r>
      <w:r w:rsidR="00DD7834">
        <w:rPr>
          <w:sz w:val="28"/>
          <w:szCs w:val="28"/>
        </w:rPr>
        <w:t>в соответствии со статьей 27.13 Кодекса Российской Федерации об административных правонарушениях, пунктом 4 приказа Федеральной антимонопольной службы от 15 августа 2016 года № 1145/16 "Об утверждении Методических указаний по расчету тарифов на перемещение и хранение задержанных транспортных средств и установлению сроков оплаты", Законом</w:t>
      </w:r>
      <w:proofErr w:type="gramEnd"/>
      <w:r w:rsidR="00DD7834">
        <w:rPr>
          <w:sz w:val="28"/>
          <w:szCs w:val="28"/>
        </w:rPr>
        <w:t xml:space="preserve"> Краснодарского края от 24 мая 2012 года №  2508-КЗ "О перемещении задержанных транспортных средств на специализированные стоянки на территории Краснодарского края, об их хранении, оплате расходов на перемещение и хранение и о возврате транспортных средств»</w:t>
      </w:r>
      <w:r w:rsidR="00DD7834">
        <w:rPr>
          <w:sz w:val="28"/>
          <w:szCs w:val="28"/>
        </w:rPr>
        <w:t>.</w:t>
      </w:r>
    </w:p>
    <w:p w:rsidR="006A7CEF" w:rsidRPr="00341D87" w:rsidRDefault="006A7CEF" w:rsidP="006A7CEF">
      <w:pPr>
        <w:ind w:firstLine="567"/>
        <w:jc w:val="both"/>
        <w:rPr>
          <w:sz w:val="28"/>
          <w:szCs w:val="28"/>
        </w:rPr>
      </w:pPr>
      <w:r w:rsidRPr="00341D87">
        <w:rPr>
          <w:sz w:val="28"/>
          <w:szCs w:val="28"/>
        </w:rPr>
        <w:t>2.  Проект нормативного правового акта размещен на сайте администрации МО Туапсинский район</w:t>
      </w:r>
      <w:r w:rsidRPr="00341D87">
        <w:rPr>
          <w:color w:val="000000"/>
          <w:sz w:val="28"/>
          <w:szCs w:val="28"/>
        </w:rPr>
        <w:t xml:space="preserve"> </w:t>
      </w:r>
      <w:hyperlink r:id="rId5" w:history="1">
        <w:r w:rsidRPr="00341D87">
          <w:rPr>
            <w:color w:val="0000FF"/>
            <w:sz w:val="28"/>
            <w:szCs w:val="28"/>
            <w:u w:val="single"/>
          </w:rPr>
          <w:t>www.tuapseregion.ru</w:t>
        </w:r>
      </w:hyperlink>
      <w:r w:rsidRPr="00341D87">
        <w:rPr>
          <w:color w:val="000000"/>
          <w:sz w:val="28"/>
          <w:szCs w:val="28"/>
        </w:rPr>
        <w:t xml:space="preserve">, в разделе «Документы», подразделе «Антикоррупционная экспертиза нормативных правовых актов» </w:t>
      </w:r>
      <w:r w:rsidRPr="00341D87">
        <w:rPr>
          <w:sz w:val="28"/>
          <w:szCs w:val="28"/>
        </w:rPr>
        <w:t xml:space="preserve">для проведения независимой антикоррупционной экспертизы. </w:t>
      </w:r>
    </w:p>
    <w:p w:rsidR="006A7CEF" w:rsidRPr="00341D87" w:rsidRDefault="006A7CEF" w:rsidP="006A7CEF">
      <w:pPr>
        <w:ind w:firstLine="567"/>
        <w:jc w:val="both"/>
        <w:rPr>
          <w:sz w:val="28"/>
          <w:szCs w:val="28"/>
        </w:rPr>
      </w:pPr>
      <w:r w:rsidRPr="00341D87">
        <w:rPr>
          <w:sz w:val="28"/>
          <w:szCs w:val="28"/>
        </w:rPr>
        <w:t xml:space="preserve"> В срок, установленный пунктом 2.3 Порядка проведения антикоррупционной экспертизы муниципальных правовых актов и проектов </w:t>
      </w:r>
      <w:r w:rsidRPr="00341D87">
        <w:rPr>
          <w:sz w:val="28"/>
          <w:szCs w:val="28"/>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A7CEF" w:rsidRPr="00341D87" w:rsidRDefault="006A7CEF" w:rsidP="006A7CEF">
      <w:pPr>
        <w:autoSpaceDE w:val="0"/>
        <w:autoSpaceDN w:val="0"/>
        <w:adjustRightInd w:val="0"/>
        <w:ind w:firstLine="567"/>
        <w:jc w:val="both"/>
        <w:rPr>
          <w:sz w:val="28"/>
          <w:szCs w:val="28"/>
        </w:rPr>
      </w:pPr>
      <w:r w:rsidRPr="00341D87">
        <w:rPr>
          <w:sz w:val="28"/>
          <w:szCs w:val="28"/>
        </w:rPr>
        <w:t xml:space="preserve">3.  В ходе антикоррупционной экспертизы проекта нормативного правового акта </w:t>
      </w:r>
      <w:proofErr w:type="spellStart"/>
      <w:r w:rsidRPr="00341D87">
        <w:rPr>
          <w:sz w:val="28"/>
          <w:szCs w:val="28"/>
        </w:rPr>
        <w:t>коррупциогенные</w:t>
      </w:r>
      <w:proofErr w:type="spellEnd"/>
      <w:r w:rsidRPr="00341D87">
        <w:rPr>
          <w:sz w:val="28"/>
          <w:szCs w:val="28"/>
        </w:rPr>
        <w:t xml:space="preserve"> факторы не обнаружены.</w:t>
      </w:r>
    </w:p>
    <w:p w:rsidR="006A7CEF" w:rsidRPr="00341D87" w:rsidRDefault="006A7CEF" w:rsidP="006A7CEF">
      <w:pPr>
        <w:autoSpaceDE w:val="0"/>
        <w:autoSpaceDN w:val="0"/>
        <w:adjustRightInd w:val="0"/>
        <w:ind w:firstLine="567"/>
        <w:jc w:val="both"/>
        <w:rPr>
          <w:sz w:val="28"/>
          <w:szCs w:val="28"/>
        </w:rPr>
      </w:pPr>
      <w:r w:rsidRPr="00341D87">
        <w:rPr>
          <w:sz w:val="28"/>
          <w:szCs w:val="28"/>
        </w:rPr>
        <w:t>4.   Проект нормативного правового акта может быть рекомендован для официального принятия.</w:t>
      </w:r>
    </w:p>
    <w:p w:rsidR="006A7CEF" w:rsidRPr="00341D87" w:rsidRDefault="006A7CEF" w:rsidP="006A7CEF">
      <w:pPr>
        <w:autoSpaceDE w:val="0"/>
        <w:autoSpaceDN w:val="0"/>
        <w:adjustRightInd w:val="0"/>
        <w:ind w:firstLine="567"/>
        <w:rPr>
          <w:sz w:val="28"/>
          <w:szCs w:val="28"/>
        </w:rPr>
      </w:pPr>
    </w:p>
    <w:p w:rsidR="006A7CEF" w:rsidRDefault="006A7CEF" w:rsidP="006A7CEF">
      <w:pPr>
        <w:autoSpaceDE w:val="0"/>
        <w:autoSpaceDN w:val="0"/>
        <w:adjustRightInd w:val="0"/>
        <w:jc w:val="both"/>
        <w:rPr>
          <w:sz w:val="28"/>
          <w:szCs w:val="28"/>
        </w:rPr>
      </w:pPr>
    </w:p>
    <w:p w:rsidR="006A7CEF" w:rsidRDefault="006A7CEF" w:rsidP="006A7CEF">
      <w:pPr>
        <w:autoSpaceDE w:val="0"/>
        <w:autoSpaceDN w:val="0"/>
        <w:adjustRightInd w:val="0"/>
        <w:jc w:val="both"/>
        <w:rPr>
          <w:sz w:val="28"/>
          <w:szCs w:val="28"/>
        </w:rPr>
      </w:pPr>
      <w:r>
        <w:rPr>
          <w:sz w:val="28"/>
          <w:szCs w:val="28"/>
        </w:rPr>
        <w:t xml:space="preserve">Начальник правового отдела </w:t>
      </w:r>
    </w:p>
    <w:p w:rsidR="006A7CEF" w:rsidRDefault="006A7CEF" w:rsidP="006A7CEF">
      <w:pPr>
        <w:jc w:val="both"/>
        <w:rPr>
          <w:b/>
          <w:spacing w:val="4"/>
          <w:sz w:val="28"/>
          <w:szCs w:val="28"/>
        </w:rPr>
      </w:pPr>
      <w:r>
        <w:rPr>
          <w:sz w:val="28"/>
          <w:szCs w:val="28"/>
        </w:rPr>
        <w:t xml:space="preserve">администрации МО Туапсинский район                                          В.Н.   Солопов                   </w:t>
      </w:r>
    </w:p>
    <w:p w:rsidR="00D71F9F" w:rsidRDefault="00D71F9F"/>
    <w:sectPr w:rsidR="00D71F9F" w:rsidSect="00DD7834">
      <w:pgSz w:w="11906" w:h="16838"/>
      <w:pgMar w:top="1134"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94"/>
    <w:rsid w:val="00044D94"/>
    <w:rsid w:val="0025174E"/>
    <w:rsid w:val="002F7CA7"/>
    <w:rsid w:val="00420819"/>
    <w:rsid w:val="00476C16"/>
    <w:rsid w:val="006A7CEF"/>
    <w:rsid w:val="006D7E65"/>
    <w:rsid w:val="006E362C"/>
    <w:rsid w:val="00832A13"/>
    <w:rsid w:val="0083343B"/>
    <w:rsid w:val="009126CE"/>
    <w:rsid w:val="009926FE"/>
    <w:rsid w:val="00D71F9F"/>
    <w:rsid w:val="00DD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2017-10-06T13:28:00Z</dcterms:created>
  <dcterms:modified xsi:type="dcterms:W3CDTF">2017-10-06T13:34:00Z</dcterms:modified>
</cp:coreProperties>
</file>