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Информация</w:t>
      </w:r>
    </w:p>
    <w:p w14:paraId="04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О выполнении Национального плана противодействия коррупции</w:t>
      </w:r>
    </w:p>
    <w:p w14:paraId="05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на 2021-2024 годы в муниципальном образовании Туапсинский район</w:t>
      </w:r>
    </w:p>
    <w:p w14:paraId="06000000">
      <w:pPr>
        <w:spacing w:after="0" w:before="0" w:line="240" w:lineRule="auto"/>
        <w:ind/>
        <w:jc w:val="center"/>
      </w:pPr>
    </w:p>
    <w:tbl>
      <w:tblPr>
        <w:tblStyle w:val="Style_2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6272"/>
        <w:gridCol w:w="8041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8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</w:t>
            </w:r>
          </w:p>
          <w:p w14:paraId="0A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04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исполнения</w:t>
            </w:r>
          </w:p>
        </w:tc>
      </w:tr>
    </w:tbl>
    <w:p w14:paraId="0C000000">
      <w:pPr>
        <w:spacing w:after="0" w:before="0" w:line="12" w:lineRule="auto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"/>
        <w:gridCol w:w="6272"/>
        <w:gridCol w:w="8022"/>
      </w:tblGrid>
      <w:tr>
        <w:trPr>
          <w:tblHeader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149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Оценка восприятия уровня коррупции и мониторинг коррупционных рисков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восприятия уровня коррупции в муниципальном образовании Туапсинский район, размещение результатов в средствах массовой информации и на официальном сайте администрации муниципального образования Туапсинский район в информационно-телекоммуникационной сети «Интернет»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один раз в полугодие, в муниципальном образовании Туапсинский район проводится мониторинг восприятия уровня коррупции.</w:t>
            </w:r>
          </w:p>
          <w:p w14:paraId="14000000">
            <w:pPr>
              <w:pStyle w:val="Style_3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целях мониторинга восприятия уровня коррупции проводится социологическое исследование. </w:t>
            </w:r>
            <w:r>
              <w:rPr>
                <w:rFonts w:ascii="Times New Roman" w:hAnsi="Times New Roman"/>
                <w:color w:val="000000"/>
                <w:sz w:val="28"/>
              </w:rPr>
              <w:t>В 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социологическое исследование на территории Туапсинского района не проводилось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15000000">
            <w:pPr>
              <w:pStyle w:val="Style_3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Очередное социологическое исследование запланировано на </w:t>
            </w: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</w:rPr>
              <w:t>выделением</w:t>
            </w:r>
            <w:r>
              <w:rPr>
                <w:rFonts w:ascii="Times New Roman" w:hAnsi="Times New Roman"/>
                <w:sz w:val="28"/>
              </w:rPr>
              <w:t xml:space="preserve"> денежных средств из бюджета Туапсинского муниципального округа в размере 300,00 тыс. руб.</w:t>
            </w:r>
          </w:p>
        </w:tc>
      </w:tr>
      <w:tr>
        <w:trPr>
          <w:trHeight w:hRule="atLeast" w:val="655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мониторинга коррупционных рисков в администрации муниципального образования Туапсинский район, размещение результатов в средствах массовой информации и на официальном сайте администрации муниципального образования Туапсинский район в информационно-телекоммуникационной сети «Интернет»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соответствии с постановлением администрации муниципального образования Туапсинский район № 1164 от 15 апреля 2013 г. «Об утверждении методики мониторинга коррупционных рисков в администрации муниципального образования Туапсинский район» два раза в год, один раз в полугодие проводится мониторинг коррупционных рисков. Во втором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полугодии 2024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проведен мониторинг, нарушений не выявлено, информация о проведенном мониторинге размещена на официальном сайте администрации Туапсинского муниципального округа по следующей ссылке:</w:t>
            </w:r>
          </w:p>
          <w:p w14:paraId="1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"https://view.officeapps.live.com/op/view.aspx?src=tuapseregion.ru/upload/iblock/648/4brbs3um1arbaq3ldq8hftvqnqg3stkr.docx"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https://view.officeapps.live.com/op/view.aspx?src=tuapseregion.ru/upload/iblock/648/4brbs3um1arbaq3ldq8hftvqnqg3stkr.docx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49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 Противодействие коррупции в администрации муниципального образования Туапсинский район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2024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рамках государственной программы Краснодарского края «Региональная политика и развитие гражданского общества»,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 направлению «Основы профилактики коррупции», за счет средств краевого бюджета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повышение квалификации </w:t>
            </w:r>
            <w:r>
              <w:rPr>
                <w:rFonts w:ascii="Times New Roman" w:hAnsi="Times New Roman"/>
                <w:color w:val="000000"/>
                <w:sz w:val="28"/>
              </w:rPr>
              <w:t>прошел 1 (один) муниципальный служащий в должностные обязанности которого входит участие в противодействии коррупции, в объеме 18 часов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1E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Также в 2024 году организованы мероприятия по профессиональному развитию в области противодействия коррупции для - 18 муниципальных служащих в рамках дистанционного обучения за счет средств местного бюджета.</w:t>
            </w:r>
          </w:p>
          <w:p w14:paraId="1F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- 18 </w:t>
            </w:r>
            <w:r>
              <w:rPr>
                <w:rFonts w:ascii="Times New Roman" w:hAnsi="Times New Roman"/>
                <w:color w:val="000000"/>
                <w:sz w:val="28"/>
              </w:rPr>
              <w:t>человек оплачено в размере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31600,00 рублей.</w:t>
            </w:r>
          </w:p>
          <w:p w14:paraId="20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Дистанционное бучение по дополнительным профессиональным программам в области противодействия коррупции проводили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АНО ДПО «Учебный центр «Новый уровень», </w:t>
            </w:r>
            <w:r>
              <w:rPr>
                <w:rFonts w:ascii="Times New Roman" w:hAnsi="Times New Roman"/>
                <w:color w:val="000000"/>
                <w:sz w:val="28"/>
              </w:rPr>
              <w:t>ООО «Центр непрерывного медицинского образования»</w:t>
            </w:r>
            <w:r>
              <w:rPr>
                <w:rFonts w:ascii="Times New Roman" w:hAnsi="Times New Roman"/>
                <w:sz w:val="28"/>
              </w:rPr>
              <w:t>, АНО ДПО «Национальный институт инновационных технологий», ООО «Учебный центр «Эксперт»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sz w:val="28"/>
              </w:rPr>
              <w:t xml:space="preserve">у организованы мероприятия по профессиональному развитию в области противодействия коррупции для - </w:t>
            </w:r>
            <w:r>
              <w:rPr>
                <w:rFonts w:ascii="Times New Roman" w:hAnsi="Times New Roman"/>
                <w:sz w:val="28"/>
              </w:rPr>
              <w:t>28</w:t>
            </w:r>
            <w:r>
              <w:rPr>
                <w:rFonts w:ascii="Times New Roman" w:hAnsi="Times New Roman"/>
                <w:sz w:val="28"/>
              </w:rPr>
              <w:t xml:space="preserve"> муниципальных служащих, впервые поступивших на муниципальную службу, и замещающих должности, связанные с соблюдением антикоррупционных стандартов:</w:t>
            </w:r>
          </w:p>
          <w:p w14:paraId="24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проведено одиннадцать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очных</w:t>
            </w:r>
            <w:r>
              <w:rPr>
                <w:rFonts w:ascii="Times New Roman" w:hAnsi="Times New Roman"/>
                <w:sz w:val="28"/>
              </w:rPr>
              <w:t xml:space="preserve"> семинар-совещаний на тему «Инструктаж по вопросам противодействия коррупции для лиц, претендующих на замещение должностей муниципальной службы», на которых прошли первичный инструктаж - </w:t>
            </w:r>
            <w:r>
              <w:rPr>
                <w:rFonts w:ascii="Times New Roman" w:hAnsi="Times New Roman"/>
                <w:sz w:val="28"/>
              </w:rPr>
              <w:t>28</w:t>
            </w:r>
            <w:r>
              <w:rPr>
                <w:rFonts w:ascii="Times New Roman" w:hAnsi="Times New Roman"/>
                <w:sz w:val="28"/>
              </w:rPr>
              <w:t xml:space="preserve"> муниципальных служащих, впервые поступивших на муниципальную службу, и замещающих должности, связанные с соблюдением антикоррупционных стандартов.</w:t>
            </w:r>
          </w:p>
          <w:p w14:paraId="25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</w:t>
            </w: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 проводились сотрудниками администрации МО Туапсинский район</w:t>
            </w:r>
          </w:p>
        </w:tc>
      </w:tr>
      <w:tr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tabs>
                <w:tab w:leader="none" w:pos="7200" w:val="left"/>
              </w:tabs>
              <w:spacing w:after="0" w:before="0" w:line="240" w:lineRule="auto"/>
              <w:ind w:firstLine="0" w:left="0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802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отчетный период организованы мероприятия по профессиональному развитию в области противодействия коррупции для - 5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 в администрации МО Туапсинский район:</w:t>
            </w:r>
          </w:p>
          <w:p w14:paraId="29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обучение за счет средств местного бюджета -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муниципальных служащих, в области противодействия коррупции по программе управление государственными и муниципальными закупками в контрактной системе в объеме 1</w:t>
            </w:r>
            <w:r>
              <w:rPr>
                <w:rFonts w:ascii="Times New Roman" w:hAnsi="Times New Roman"/>
                <w:sz w:val="28"/>
              </w:rPr>
              <w:t>44</w:t>
            </w:r>
            <w:r>
              <w:rPr>
                <w:rFonts w:ascii="Times New Roman" w:hAnsi="Times New Roman"/>
                <w:sz w:val="28"/>
              </w:rPr>
              <w:t xml:space="preserve"> часов.</w:t>
            </w:r>
          </w:p>
          <w:p w14:paraId="2A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обучение по дополнительным профессиональным программам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- 5</w:t>
            </w:r>
            <w:r>
              <w:rPr>
                <w:rFonts w:ascii="Times New Roman" w:hAnsi="Times New Roman"/>
                <w:sz w:val="28"/>
              </w:rPr>
              <w:t xml:space="preserve"> человек оплачено в размере 43999</w:t>
            </w:r>
            <w:r>
              <w:rPr>
                <w:rFonts w:ascii="Times New Roman" w:hAnsi="Times New Roman"/>
                <w:sz w:val="28"/>
              </w:rPr>
              <w:t>,00 рублей.</w:t>
            </w:r>
          </w:p>
          <w:p w14:paraId="2B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Обучение по дополнительным профессиональным программам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проводили - </w:t>
            </w:r>
            <w:r>
              <w:rPr>
                <w:rFonts w:ascii="Times New Roman" w:hAnsi="Times New Roman"/>
                <w:sz w:val="28"/>
              </w:rPr>
              <w:t xml:space="preserve">ООО «Институт дополнительного профессионального образования», </w:t>
            </w:r>
            <w:r>
              <w:rPr>
                <w:rFonts w:ascii="Times New Roman" w:hAnsi="Times New Roman"/>
                <w:sz w:val="28"/>
              </w:rPr>
              <w:t>АНО ДПО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</w:rPr>
              <w:t>Национальный институт инновационных технологий»,</w:t>
            </w:r>
            <w:r>
              <w:rPr>
                <w:rFonts w:ascii="Times New Roman" w:hAnsi="Times New Roman"/>
                <w:sz w:val="28"/>
              </w:rPr>
              <w:t xml:space="preserve"> ООО «РТС академия»</w:t>
            </w:r>
          </w:p>
        </w:tc>
      </w:tr>
      <w:tr>
        <w:trPr>
          <w:trHeight w:hRule="atLeast" w:val="358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проведен анализ сведений о доходах, об имуществе и обязательствах имущественного характера, представленных - 197 муниципальными служащими и - 109 руководителями муниципальных учреждений подведомственных администрации МО Туапсинский район, претендующими на замещение должностей муниципальной службы.</w:t>
            </w:r>
          </w:p>
          <w:p w14:paraId="2F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результатам анализа </w:t>
            </w:r>
            <w:r>
              <w:rPr>
                <w:rFonts w:ascii="Times New Roman" w:hAnsi="Times New Roman"/>
                <w:sz w:val="28"/>
              </w:rPr>
              <w:t xml:space="preserve">сведений о доходах, об имуществе и обязательствах имущественного характера, представленных муниципальными служащими и руководителями муниципальных учреждений подведомственных администрации МО Туапсинский район, </w:t>
            </w:r>
            <w:r>
              <w:rPr>
                <w:rFonts w:ascii="Times New Roman" w:hAnsi="Times New Roman"/>
                <w:sz w:val="28"/>
              </w:rPr>
              <w:t>фактов представления недостоверных и (или) неполных сведений за отчетный период не установлено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0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Муниципальные служащие до 30 апреля представляют сведения о своих доходах, расходах, об имуществе и обязательствах имущественного характера в отдел кадров администрации муниципального образования Туапсинский район, используя специальное программное обеспечение «Справка БК»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За отчетный период Туапсинской межрайонной прокуратурой проведена проверка соблюдения законодательства о противодействии коррупции, по результатам которой вынесено представление по фактам предоставления недостоверных и (или) неполных сведений о доходах, об имуществе и обязательствах имущественного характера - 3 муниципальными служащими.</w:t>
            </w:r>
          </w:p>
          <w:p w14:paraId="34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лица, допустившие нарушения законодательства о противодействии коррупции, в своих письменных объяснениях признали факт совершения ими коррупционного правонарушения и дали письменное согласие на применение дисциплинарного взыскания в упрощенном порядке в соответствии с пунктом 2.1 части 3 статьи 27.1 Федерального закона от 2 марта 2000 г. № 25-ФЗ «О муниципальной службе в Российской федерации» - объявлено 3 замечания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отдел кадров администрации МО Туапсинский район в 2024 году </w:t>
            </w:r>
            <w:r>
              <w:rPr>
                <w:rFonts w:ascii="Times New Roman" w:hAnsi="Times New Roman"/>
                <w:sz w:val="28"/>
              </w:rPr>
              <w:t>уведомлений муниципальных служащих о факте обращения в целях склонения к совершению коррупционных правонарушений не поступало, не рассматривались.</w:t>
            </w:r>
          </w:p>
          <w:p w14:paraId="3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 муниципальные служащие информируются об обязательном и своевременном реагировании на все случаи склонения к совершению коррупционных правонарушений, на планерных совещаниях и через рассылку данной информации по электронной почте.</w:t>
            </w:r>
          </w:p>
          <w:p w14:paraId="3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Уведомления в органы прокуратуры или другие государственные органы о факте обращения в целях склонения муниципальных служащих к совершению коррупционных правонарушений не направлялись</w:t>
            </w:r>
          </w:p>
        </w:tc>
      </w:tr>
      <w:tr>
        <w:trPr>
          <w:trHeight w:hRule="atLeast" w:val="2158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отдел кадров администрации МО Туапсинский район поступило - </w:t>
            </w: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уведомлени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 выполнении иной оплачиваемой работы от муниципальных служащих, которые были рассмотрены - Комиссией по соблюдению требований к служебному поведению муниципальными служащими и урегулированию конфликта интересов администрации МО Туапсинский район, состоящей из 7 членов комиссии, получено - </w:t>
            </w: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положительных решений, - 0 отрицательных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3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 отраслевые органы администрации МО Туапсинский район уведомлены о необходимости предварительного уведомления представителя нанимателя (работодателя) о выполнении иной оплачиваемой работы, через рассылку данной информации по электронной почте.</w:t>
            </w:r>
          </w:p>
          <w:p w14:paraId="3E000000">
            <w:pPr>
              <w:pStyle w:val="Style_5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Уведомления муниципальных служащих об информировании представителя нанимателя (работодателя) о выполнении иной оплачиваемой работы регистрируются в журнале номенклатурных дел по регистрации уведомлений представителя нанимателя (работодателя) о выполнении муниципальными служащими иной оплачиваемой работы.</w:t>
            </w:r>
          </w:p>
          <w:p w14:paraId="3F000000">
            <w:pPr>
              <w:pStyle w:val="Style_5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отчетном периоде муниципальные служащие, которые не уведомили или несвоевременно уведомили представителя нанимателя (работодателя) о выполнении иной оплачиваемой работы, отсутствуют</w:t>
            </w:r>
          </w:p>
        </w:tc>
      </w:tr>
      <w:tr>
        <w:trPr>
          <w:trHeight w:hRule="atLeast" w:val="638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  <w:p w14:paraId="4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Решением Совета муниципального образования Туапсинский район № 169 от 26 сентября 2014 г. принято Положение о сообщении лицами, замещающими муниципальные должности муниципального образования Туапсинский район на постоянной основе, и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(выкупе) и зачислении средстве, вырученных от его реализации, доведено до всех отраслевых органов администрации МО Туапсинский район.</w:t>
            </w:r>
          </w:p>
          <w:p w14:paraId="44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Отделом кадров администрации МО Туапсинский район мониторинг исполнения принятого Положения проводится на постоянной основе.</w:t>
            </w:r>
          </w:p>
          <w:p w14:paraId="45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в отдел кадров администрации МО Туапсинский район уведомлений о получении муниципальными служащими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не поступало.</w:t>
            </w:r>
          </w:p>
          <w:p w14:paraId="46000000">
            <w:pPr>
              <w:pStyle w:val="Style_5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Отделом кадров администрации МО Туапсинский район контроль за выполнением муниципальными служащими обязанности сообщать в установленных случаях о получении ими подарков в связи с их должностным положением или в связи с исполнением ими служебных обязанностей, ведется на постоянной основе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отчетный период</w:t>
            </w:r>
            <w:r>
              <w:rPr>
                <w:rFonts w:ascii="Times New Roman" w:hAnsi="Times New Roman"/>
                <w:sz w:val="28"/>
              </w:rPr>
              <w:t xml:space="preserve"> отделом кадров администрации МО Туапсинский район на постоянной основе проводился анализ соблюдения соответствующего антикоррупционного требования с использованием сведений, содержащихся в личных делах муниципальных служащих, специализированных базах данных, "открытых источниках" и информационно-телекоммуникационной сети "Интернет", так в отчетном периоде осуществлен 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 по вновь принятым на муниципальную службу, по - </w:t>
            </w: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 xml:space="preserve"> муниципальным служащим.</w:t>
            </w:r>
          </w:p>
          <w:p w14:paraId="4A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результате мониторинга, нарушения не выявлены, муниципальных служащих имеющих ценные бумаги для передачи в доверительное управление отсутствуют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sz w:val="28"/>
              </w:rPr>
              <w:t xml:space="preserve">у отделом кадров администрации МО Туапсинский район на постоянной основе проводился анализ соблюдения соответствующего антикоррупционного требования с использованием сведений, содержащихся в личных делах муниципальных служащих, специализированных базах данных, "открытых источниках", информационно-телекоммуникационной сети "Интернет", так в отчетном периоде осуществлен мониторинг соблюдения порядка участия лиц, замещающих должности муниципальной службы, в управлении коммерческими и некоммерческими организациями по вновь принятым на муниципальную службу, по - </w:t>
            </w: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 xml:space="preserve"> муниципальным служащим.</w:t>
            </w:r>
          </w:p>
          <w:p w14:paraId="4E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результате мониторинга, нарушения не выявлены, заявлений о разрешении на участие в управлении коммерческими (некоммерческими) организациями от муниципальных служащих не поступало</w:t>
            </w:r>
          </w:p>
        </w:tc>
      </w:tr>
      <w:tr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type="dxa" w:w="802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5"/>
              <w:tabs>
                <w:tab w:leader="none" w:pos="720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рамках правового антикоррупционного просвещения муниципальных служащих, осуществляемую должностными лицами, ответственными за профилактику коррупционных и иных правонарушений - руководителями отраслевых органов администрации МО Туапсинский район проводятся </w:t>
            </w:r>
            <w:r>
              <w:rPr>
                <w:rFonts w:ascii="Times New Roman" w:hAnsi="Times New Roman"/>
                <w:color w:val="000000"/>
                <w:sz w:val="28"/>
              </w:rPr>
              <w:t>информационно-разъяснительная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работа с муниципальными служащими на еженедельных планерных совещаниях, с целью формирования антикоррупционного поведения.</w:t>
            </w:r>
          </w:p>
          <w:p w14:paraId="5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 поступлении на муниципальную службу с гражданами, претендующими на замещение должностей муниципальной службы, проводится индивидуальная профилактическая беседа по формированию негативного отношения к дарению подарков и коррупционным правонарушениям.</w:t>
            </w:r>
          </w:p>
          <w:p w14:paraId="5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Также в отчетном периоде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 сотрудниками вновь принятыми на муниципальную службу, ежемесячно проводятся групповые обучающие семинары на тему - П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ротиводействие коррупции для лиц,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претендующих на замещение должностей муниципальной службы и должностей, не являющихся должностями муниципальной службы администрации муниципального образования Туапсинский район, её отраслевых (функциональных) и территориальных органов, а также на замещение должностей руководителей муниципальных учреждений, учредителями которых являются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администрация муниципального образования Туапсинский район и её отраслевые (функциональные) и территориальные органы, так проведено </w:t>
            </w: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семинар-совещани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 которых всего присутствовало - </w:t>
            </w: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служащих:</w:t>
            </w:r>
          </w:p>
          <w:p w14:paraId="54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- 19</w:t>
            </w:r>
            <w:r>
              <w:rPr>
                <w:rFonts w:ascii="Times New Roman" w:hAnsi="Times New Roman"/>
                <w:color w:val="000000"/>
                <w:sz w:val="28"/>
              </w:rPr>
              <w:t>.01.202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- 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5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- 6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6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- 22.03.2024 г. - 3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7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- 24.05.2024 г. - 3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8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- 21.06.2024 г. - 1 муниципальный служащий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9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- 26.07.2024 г. - 3 муниципальных служащих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A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- 23.08.2024 г. - 2 муниципальных служащих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B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- 20.09.2024 г. - 1 муниципальный служащий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C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- 25.10.2024 г. - 2 муниципальных служащих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D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- 08.11.2024 г. - 1 муниципальный служащий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E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- 12.12.2024 г. - 2 муниципальных служащих.</w:t>
            </w:r>
          </w:p>
          <w:p w14:paraId="5F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обучающих семинарах раздаются информационные материалы с разъяснениями и требованиями антикоррупционного законодательства РФ, а также статьи УК РФ в рамках которых предусмотрена ответственность за нарушения антикоррупционного законодательства РФ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правовым отделом администрации МО Туапсинский район подготовлено - </w:t>
            </w:r>
            <w:r>
              <w:rPr>
                <w:rFonts w:ascii="Times New Roman" w:hAnsi="Times New Roman"/>
                <w:color w:val="000000"/>
                <w:sz w:val="28"/>
              </w:rPr>
              <w:t>361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проектов нормативных правовых актов, в отношении - </w:t>
            </w:r>
            <w:r>
              <w:rPr>
                <w:rFonts w:ascii="Times New Roman" w:hAnsi="Times New Roman"/>
                <w:color w:val="000000"/>
                <w:sz w:val="28"/>
              </w:rPr>
              <w:t>361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нормативных правовых актов проведена антикоррупционная экспертиза:</w:t>
            </w:r>
          </w:p>
          <w:p w14:paraId="63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Коррупциогенные факторы, выявлены в 1-ом проекте нормативного правового акта, в него внесены исправления;</w:t>
            </w:r>
          </w:p>
          <w:p w14:paraId="64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Положительных заключений - </w:t>
            </w:r>
            <w:r>
              <w:rPr>
                <w:rFonts w:ascii="Times New Roman" w:hAnsi="Times New Roman"/>
                <w:color w:val="000000"/>
                <w:sz w:val="28"/>
              </w:rPr>
              <w:t>361</w:t>
            </w:r>
            <w:r>
              <w:rPr>
                <w:rFonts w:ascii="Times New Roman" w:hAnsi="Times New Roman"/>
                <w:color w:val="000000"/>
                <w:sz w:val="28"/>
              </w:rPr>
              <w:t>, отрицательных - 0.</w:t>
            </w:r>
          </w:p>
          <w:p w14:paraId="65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Подготовленных аккредитованными в установленном порядке независимыми экспертами, нормативных правовых актов - 0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соответствии с постановлением администрации муниципального образования Туапсинский район № </w:t>
            </w:r>
            <w:r>
              <w:rPr>
                <w:rFonts w:ascii="Times New Roman" w:hAnsi="Times New Roman"/>
                <w:sz w:val="28"/>
              </w:rPr>
              <w:t xml:space="preserve">1460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сентябр</w:t>
            </w:r>
            <w:r>
              <w:rPr>
                <w:rFonts w:ascii="Times New Roman" w:hAnsi="Times New Roman"/>
                <w:color w:val="000000"/>
                <w:sz w:val="28"/>
              </w:rPr>
              <w:t>я 20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«О проведении антикоррупционной экспертизы муниципальных правовых актов и проектов муниципальных правовых актов МО Туапсинский район», правовым отделом администрации МО Туапсинский район в целях реализации антикоррупционной политики и устранения коррупциогенных факторов проводит на постоянной основе мониторинг правоприменения муниципальных нормативных правовых актов, нарушений в </w:t>
            </w:r>
            <w:r>
              <w:rPr>
                <w:rFonts w:ascii="Times New Roman" w:hAnsi="Times New Roman"/>
                <w:color w:val="000000"/>
                <w:sz w:val="28"/>
              </w:rPr>
              <w:t>отчетном периоде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не установлено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  <w:p w14:paraId="6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Правовой отдел администрации МО Туапсинский район на постоянной обеспечивает 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МО Туапсинский район, подведомственных организаций и их должностных лиц.</w:t>
            </w:r>
          </w:p>
          <w:p w14:paraId="6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результате мониторинга в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нарушений правоприменительной практики не установлено</w:t>
            </w:r>
          </w:p>
        </w:tc>
      </w:tr>
      <w:tr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type="dxa" w:w="802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sz w:val="28"/>
              </w:rPr>
              <w:t xml:space="preserve">у 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прав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ением имущественных отношений администрации МО Туапсинский район проводились мероприятия обязательным условием которых, в случае вовлечения в сделку объектов оценки, принадлежащих муниципальному образованию, является проведение рыночной оценки объектов. Определение стоимости таких объектов осуществляется в соответствии с Федеральным законом                   № 135-ФЗ от 29 июля 1998 г. «Об оценочной деятельности в Российской Федерации», нарушений не установлено</w:t>
            </w:r>
          </w:p>
        </w:tc>
      </w:tr>
      <w:tr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  <w:p w14:paraId="7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2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sz w:val="28"/>
              </w:rPr>
              <w:t xml:space="preserve">у отраслевыми органами администрации МО Туапсинский район проводился мониторинг соблюдения законодательства РФ о противодействии коррупции в муниципальных унитарных предприятиях и муниципальных учреждениях на постоянной основе, в соответствии с принятыми в данных учреждениях нормативными документами по противодействию коррупции, нарушений в отчетном периоде </w:t>
            </w:r>
            <w:r>
              <w:rPr>
                <w:rFonts w:ascii="Times New Roman" w:hAnsi="Times New Roman"/>
                <w:color w:val="000000"/>
                <w:sz w:val="28"/>
              </w:rPr>
              <w:t>не установлено.</w:t>
            </w:r>
          </w:p>
          <w:p w14:paraId="7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на должности вновь поступивших руководителей муниципальных учреждений, подведомственных администрации МО Туапсинский район, предоставили в установленном порядке сведения о доходах, об имуществе и обязательствах имущественного характера - </w:t>
            </w: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руководителей муниципальных учреждений.</w:t>
            </w:r>
          </w:p>
          <w:p w14:paraId="76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результате анализа сведений о доходах, об имуществе и обязательствах имущественного характера, поданных вновь принятыми на должности руководителей муниципальных учреждений, подведомственных администрации МО Туапсинский район, проанализировано - </w:t>
            </w: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сведений о доходах, об имуществе и обязательствах имущественного характера, информация на официальном сайте администрации МО Туапсинский район не размещалась на основании Указа Президента РФ от 29.12.2022 № 968 «Об особенностях исполнения обязанностей, соблюдения ограничений и запретов в области противодействия коррупции...» размещенного по следующей ссылке:</w:t>
            </w:r>
          </w:p>
          <w:p w14:paraId="7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instrText>HYPERLINK "https://tuapseregion.ru/upload/iblock/ca5/jw0xxfpifq8para8x5mgbwfzvqrukbox.pdf"</w:instrText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https://tuapseregion.ru/upload/iblock/ca5/jw0xxfpifq8para8x5mgbwfzvqrukbox.pdf</w:t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end"/>
            </w:r>
          </w:p>
        </w:tc>
      </w:tr>
      <w:tr>
        <w:trPr>
          <w:trHeight w:hRule="atLeast" w:val="8418"/>
        </w:trPr>
        <w:tc>
          <w:tcPr>
            <w:tcW w:type="dxa" w:w="6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type="dxa" w:w="802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sz w:val="28"/>
              </w:rPr>
              <w:t>у информация по коррупционным правонарушениям принималась отделом по работе с обращениями граждан (общественная приемная) администрации МО Туапсинский район и на телефон «горячей линии» администрации МО Туапсинский район, деятельность осуществляется в соответствии с Постановлениями администрации МО Туапсинский район № 1583 от 29 сентября 2021 г. «О внесении изменений в постановление администрации муниципального образования Туапсинский район № 1551 от 25 сентября 2018 г. «Об утверждении Плана мероприятий по противодействию коррупции в муниципальном образовании Туапсинский район»», № 550 от 30 апреля 2020 г. «</w:t>
            </w:r>
            <w:r>
              <w:rPr>
                <w:rFonts w:ascii="Times New Roman" w:hAnsi="Times New Roman"/>
                <w:sz w:val="28"/>
              </w:rPr>
              <w:t xml:space="preserve">О внесении изменения в постановление администрации муниципального образования Туапсинский район № 1164 от 15 апреля 2013 г.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коррупции»» </w:t>
            </w:r>
            <w:r>
              <w:rPr>
                <w:rFonts w:ascii="Times New Roman" w:hAnsi="Times New Roman"/>
                <w:sz w:val="28"/>
              </w:rPr>
              <w:t>и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коррупции»».</w:t>
            </w:r>
          </w:p>
          <w:p w14:paraId="7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отчетном периоде информации о возможных коррупционных правонарушениях сотрудников администрации МО Туапсинский район не поступало</w:t>
            </w:r>
          </w:p>
        </w:tc>
      </w:tr>
      <w:tr>
        <w:tc>
          <w:tcPr>
            <w:tcW w:type="dxa" w:w="149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before="0" w:line="240" w:lineRule="auto"/>
              <w:ind w:firstLine="0" w:left="0"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3. Совершенствование взаимодействия органов местного самоуправления муниципального образования Туапсинский район со средствами массовой информации, населением и институтами гражданского общества </w:t>
            </w:r>
          </w:p>
          <w:p w14:paraId="7E000000">
            <w:pPr>
              <w:widowControl w:val="0"/>
              <w:spacing w:after="0" w:before="0" w:line="240" w:lineRule="auto"/>
              <w:ind w:firstLine="0" w:left="0"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вопроса</w:t>
            </w: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противодействия коррупции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tabs>
                <w:tab w:leader="none" w:pos="5134" w:val="left"/>
              </w:tabs>
              <w:spacing w:after="0" w:before="0" w:line="240" w:lineRule="auto"/>
              <w:ind w:firstLine="0" w:left="0" w:right="16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и продвижение социальной антикоррупционной 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sz w:val="28"/>
              </w:rPr>
              <w:t>у на регулярной основе - 12</w:t>
            </w:r>
            <w:r>
              <w:rPr>
                <w:rFonts w:ascii="Times New Roman" w:hAnsi="Times New Roman"/>
                <w:sz w:val="28"/>
              </w:rPr>
              <w:t xml:space="preserve"> раз (ежемесячно), в газетных изданиях Туапсинского района </w:t>
            </w:r>
            <w:r>
              <w:rPr>
                <w:rFonts w:ascii="Times New Roman" w:hAnsi="Times New Roman"/>
                <w:color w:val="000000"/>
                <w:sz w:val="28"/>
              </w:rPr>
              <w:t>«Черноморье сегодня» и «Туапсинские вести»,</w:t>
            </w:r>
            <w:r>
              <w:rPr>
                <w:rFonts w:ascii="Times New Roman" w:hAnsi="Times New Roman"/>
                <w:sz w:val="28"/>
              </w:rPr>
              <w:t xml:space="preserve"> размещалась информация о мероприятиях по противодействию коррупции и требованиях антикоррупционного законодательства РФ, а также ответственность за нарушение антикоррупционного законодательства РФ (УК РФ от 13.06.1996 г. № 63-ФЗ, по статьям № 290, 291, 291.1, 291.2)</w:t>
            </w:r>
          </w:p>
        </w:tc>
      </w:tr>
      <w:t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type="dxa" w:w="8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администрацией МО Туапсинский район не заключались соглашения с некоммерческими организациями, уставная деятельность которых связана с противодействием коррупции, в связи с отсутствием таковых на территории Туапсинского района.</w:t>
            </w:r>
          </w:p>
          <w:p w14:paraId="85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2024 году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администрацией МО Туапсинский район</w:t>
            </w:r>
            <w:r>
              <w:rPr>
                <w:rFonts w:ascii="Times New Roman" w:hAnsi="Times New Roman"/>
                <w:sz w:val="28"/>
              </w:rPr>
              <w:t xml:space="preserve"> с муниципальными служащими проведено </w:t>
            </w: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 xml:space="preserve"> семинар-совещани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по вопросам противодействия коррупции, а также 12 раз по ежемесячному информационно-разъяснительному информированию граждан через средства массовой информации МО Туапсинский район (газеты: «Черноморье сегодня», «Туапсинские вести»), в эфире ИТРК «Туапсе» и телеканала «Туапсе 24» при взаимодействии с правоохранительными органами и при поддержке администрации Туапсинского района, выходили сюжеты антикоррупционной направленности, в информационно-телекоммуникационной сети «Интернет» размещалась информация о требованиях законодательства РФ по противодействию коррупции, для создания в обществе атмосферы нетерпимости к коррупционным правонарушениям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6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муниципальном образовании Туапсинский район действует Совет Общественн</w:t>
            </w:r>
            <w:r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палаты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Туапсинский район. </w:t>
            </w:r>
            <w:r>
              <w:rPr>
                <w:rFonts w:ascii="Times New Roman" w:hAnsi="Times New Roman"/>
                <w:sz w:val="28"/>
              </w:rPr>
              <w:t>Заключений по результатам общественной экспертизы социально-значимых решений органов местного самоуправления муниципального образования Туапсинский район в 2024</w:t>
            </w:r>
            <w:r>
              <w:rPr>
                <w:rFonts w:ascii="Times New Roman" w:hAnsi="Times New Roman"/>
                <w:sz w:val="28"/>
              </w:rPr>
              <w:t xml:space="preserve"> году не поступало</w:t>
            </w:r>
          </w:p>
        </w:tc>
      </w:tr>
    </w:tbl>
    <w:p w14:paraId="87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8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9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A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по профилактике </w:t>
      </w:r>
      <w:r>
        <w:rPr>
          <w:rFonts w:ascii="Times New Roman" w:hAnsi="Times New Roman"/>
          <w:sz w:val="28"/>
        </w:rPr>
        <w:t>правонарушений</w:t>
      </w:r>
    </w:p>
    <w:p w14:paraId="8B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взаимодействию </w:t>
      </w:r>
      <w:r>
        <w:rPr>
          <w:rFonts w:ascii="Times New Roman" w:hAnsi="Times New Roman"/>
          <w:sz w:val="28"/>
        </w:rPr>
        <w:t>с общественными формированиями</w:t>
      </w:r>
    </w:p>
    <w:p w14:paraId="8C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  <w:r>
        <w:rPr>
          <w:rFonts w:ascii="Times New Roman" w:hAnsi="Times New Roman"/>
          <w:sz w:val="28"/>
        </w:rPr>
        <w:t>образования</w:t>
      </w:r>
    </w:p>
    <w:p w14:paraId="8D000000">
      <w:pPr>
        <w:spacing w:after="0" w:before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 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К.И. Здор</w:t>
      </w:r>
    </w:p>
    <w:sectPr>
      <w:headerReference r:id="rId2" w:type="default"/>
      <w:headerReference r:id="rId1" w:type="first"/>
      <w:pgSz w:h="11908" w:orient="landscape" w:w="16848"/>
      <w:pgMar w:bottom="567" w:footer="708" w:header="709" w:left="1134" w:right="567" w:top="170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6_ch" w:type="character">
    <w:name w:val="Normal"/>
    <w:link w:val="Style_6"/>
    <w:rPr>
      <w:rFonts w:ascii="Calibri" w:hAnsi="Calibri"/>
      <w:color w:val="000000"/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spacing w:after="0" w:before="0" w:line="240" w:lineRule="auto"/>
      <w:ind/>
    </w:pPr>
  </w:style>
  <w:style w:styleId="Style_1_ch" w:type="character">
    <w:name w:val="header"/>
    <w:basedOn w:val="Style_6_ch"/>
    <w:link w:val="Style_1"/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"/>
    <w:basedOn w:val="Style_6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6_ch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"/>
    <w:link w:val="Style_15_ch"/>
  </w:style>
  <w:style w:styleId="Style_15_ch" w:type="character">
    <w:name w:val="Основной шрифт абзаца"/>
    <w:link w:val="Style_15"/>
  </w:style>
  <w:style w:styleId="Style_16" w:type="paragraph">
    <w:name w:val="footer"/>
    <w:basedOn w:val="Style_6"/>
    <w:link w:val="Style_16_ch"/>
    <w:pPr>
      <w:spacing w:after="0" w:before="0" w:line="240" w:lineRule="auto"/>
      <w:ind/>
    </w:pPr>
  </w:style>
  <w:style w:styleId="Style_16_ch" w:type="character">
    <w:name w:val="footer"/>
    <w:basedOn w:val="Style_6_ch"/>
    <w:link w:val="Style_16"/>
  </w:style>
  <w:style w:styleId="Style_17" w:type="paragraph">
    <w:name w:val="Style5"/>
    <w:basedOn w:val="Style_6"/>
    <w:link w:val="Style_17_ch"/>
    <w:pPr>
      <w:widowControl w:val="0"/>
      <w:spacing w:after="0" w:before="0" w:line="240" w:lineRule="auto"/>
      <w:ind/>
    </w:pPr>
    <w:rPr>
      <w:rFonts w:ascii="Times New Roman" w:hAnsi="Times New Roman"/>
      <w:sz w:val="24"/>
    </w:rPr>
  </w:style>
  <w:style w:styleId="Style_17_ch" w:type="character">
    <w:name w:val="Style5"/>
    <w:basedOn w:val="Style_6_ch"/>
    <w:link w:val="Style_17"/>
    <w:rPr>
      <w:rFonts w:ascii="Times New Roman" w:hAnsi="Times New Roman"/>
      <w:sz w:val="24"/>
    </w:rPr>
  </w:style>
  <w:style w:styleId="Style_18" w:type="paragraph">
    <w:name w:val="Указатель"/>
    <w:basedOn w:val="Style_6"/>
    <w:link w:val="Style_18_ch"/>
    <w:rPr>
      <w:rFonts w:ascii="Times New Roman" w:hAnsi="Times New Roman"/>
    </w:rPr>
  </w:style>
  <w:style w:styleId="Style_18_ch" w:type="character">
    <w:name w:val="Указатель"/>
    <w:basedOn w:val="Style_6_ch"/>
    <w:link w:val="Style_18"/>
    <w:rPr>
      <w:rFonts w:ascii="Times New Roman" w:hAnsi="Times New Roman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Название объекта"/>
    <w:basedOn w:val="Style_6"/>
    <w:link w:val="Style_21_ch"/>
    <w:pPr>
      <w:spacing w:after="120" w:before="120"/>
      <w:ind/>
    </w:pPr>
    <w:rPr>
      <w:rFonts w:ascii="Times New Roman" w:hAnsi="Times New Roman"/>
      <w:i w:val="1"/>
      <w:sz w:val="28"/>
    </w:rPr>
  </w:style>
  <w:style w:styleId="Style_21_ch" w:type="character">
    <w:name w:val="Название объекта"/>
    <w:basedOn w:val="Style_6_ch"/>
    <w:link w:val="Style_21"/>
    <w:rPr>
      <w:rFonts w:ascii="Times New Roman" w:hAnsi="Times New Roman"/>
      <w:i w:val="1"/>
      <w:sz w:val="28"/>
    </w:rPr>
  </w:style>
  <w:style w:styleId="Style_22" w:type="paragraph">
    <w:name w:val="Заголовок таблицы"/>
    <w:basedOn w:val="Style_23"/>
    <w:link w:val="Style_22_ch"/>
    <w:pPr>
      <w:ind/>
      <w:jc w:val="center"/>
    </w:pPr>
    <w:rPr>
      <w:b w:val="1"/>
    </w:rPr>
  </w:style>
  <w:style w:styleId="Style_22_ch" w:type="character">
    <w:name w:val="Заголовок таблицы"/>
    <w:basedOn w:val="Style_23_ch"/>
    <w:link w:val="Style_22"/>
    <w:rPr>
      <w:b w:val="1"/>
    </w:rPr>
  </w:style>
  <w:style w:styleId="Style_24" w:type="paragraph">
    <w:name w:val="ConsPlusCell"/>
    <w:link w:val="Style_24_ch"/>
    <w:pPr>
      <w:widowControl w:val="0"/>
      <w:ind/>
    </w:pPr>
    <w:rPr>
      <w:rFonts w:ascii="Times New Roman" w:hAnsi="Times New Roman"/>
      <w:color w:val="000000"/>
      <w:sz w:val="24"/>
    </w:rPr>
  </w:style>
  <w:style w:styleId="Style_24_ch" w:type="character">
    <w:name w:val="ConsPlusCell"/>
    <w:link w:val="Style_24"/>
    <w:rPr>
      <w:rFonts w:ascii="Times New Roman" w:hAnsi="Times New Roman"/>
      <w:color w:val="000000"/>
      <w:sz w:val="24"/>
    </w:rPr>
  </w:style>
  <w:style w:styleId="Style_25" w:type="paragraph">
    <w:name w:val="Текст выноски"/>
    <w:basedOn w:val="Style_6"/>
    <w:link w:val="Style_25_ch"/>
    <w:pPr>
      <w:spacing w:after="0" w:before="0" w:line="240" w:lineRule="auto"/>
      <w:ind/>
    </w:pPr>
    <w:rPr>
      <w:rFonts w:ascii="Tahoma" w:hAnsi="Tahoma"/>
      <w:sz w:val="16"/>
    </w:rPr>
  </w:style>
  <w:style w:styleId="Style_25_ch" w:type="character">
    <w:name w:val="Текст выноски"/>
    <w:basedOn w:val="Style_6_ch"/>
    <w:link w:val="Style_25"/>
    <w:rPr>
      <w:rFonts w:ascii="Tahoma" w:hAnsi="Tahoma"/>
      <w:sz w:val="16"/>
    </w:rPr>
  </w:style>
  <w:style w:styleId="Style_3" w:type="paragraph">
    <w:name w:val="No Spacing"/>
    <w:link w:val="Style_3_ch"/>
    <w:pPr>
      <w:widowControl w:val="1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3_ch" w:type="character">
    <w:name w:val="No Spacing"/>
    <w:link w:val="Style_3"/>
    <w:rPr>
      <w:rFonts w:ascii="Calibri" w:hAnsi="Calibri"/>
      <w:color w:val="000000"/>
      <w:sz w:val="22"/>
    </w:rPr>
  </w:style>
  <w:style w:styleId="Style_26" w:type="paragraph">
    <w:name w:val="Текст выноски Знак"/>
    <w:link w:val="Style_26_ch"/>
    <w:rPr>
      <w:rFonts w:ascii="Tahoma" w:hAnsi="Tahoma"/>
      <w:sz w:val="16"/>
    </w:rPr>
  </w:style>
  <w:style w:styleId="Style_26_ch" w:type="character">
    <w:name w:val="Текст выноски Знак"/>
    <w:link w:val="Style_26"/>
    <w:rPr>
      <w:rFonts w:ascii="Tahoma" w:hAnsi="Tahoma"/>
      <w:sz w:val="16"/>
    </w:rPr>
  </w:style>
  <w:style w:styleId="Style_27" w:type="paragraph">
    <w:name w:val="ConsNonformat"/>
    <w:link w:val="Style_27_ch"/>
    <w:pPr>
      <w:widowControl w:val="0"/>
      <w:ind/>
    </w:pPr>
    <w:rPr>
      <w:rFonts w:ascii="Courier New" w:hAnsi="Courier New"/>
      <w:color w:val="000000"/>
      <w:sz w:val="20"/>
    </w:rPr>
  </w:style>
  <w:style w:styleId="Style_27_ch" w:type="character">
    <w:name w:val="ConsNonformat"/>
    <w:link w:val="Style_27"/>
    <w:rPr>
      <w:rFonts w:ascii="Courier New" w:hAnsi="Courier New"/>
      <w:color w:val="000000"/>
      <w:sz w:val="20"/>
    </w:rPr>
  </w:style>
  <w:style w:styleId="Style_28" w:type="paragraph">
    <w:name w:val="FollowedHyperlink"/>
    <w:link w:val="Style_28_ch"/>
    <w:rPr>
      <w:color w:val="800000"/>
      <w:u w:val="single"/>
    </w:rPr>
  </w:style>
  <w:style w:styleId="Style_28_ch" w:type="character">
    <w:name w:val="FollowedHyperlink"/>
    <w:link w:val="Style_28"/>
    <w:rPr>
      <w:color w:val="800000"/>
      <w:u w:val="single"/>
    </w:rPr>
  </w:style>
  <w:style w:styleId="Style_29" w:type="paragraph">
    <w:name w:val="heading 5"/>
    <w:next w:val="Style_6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Верхний и нижний колонтитулы"/>
    <w:basedOn w:val="Style_6"/>
    <w:link w:val="Style_30_ch"/>
    <w:pPr>
      <w:tabs>
        <w:tab w:leader="none" w:pos="4819" w:val="center"/>
        <w:tab w:leader="none" w:pos="9638" w:val="right"/>
      </w:tabs>
      <w:ind/>
    </w:pPr>
  </w:style>
  <w:style w:styleId="Style_30_ch" w:type="character">
    <w:name w:val="Верхний и нижний колонтитулы"/>
    <w:basedOn w:val="Style_6_ch"/>
    <w:link w:val="Style_30"/>
  </w:style>
  <w:style w:styleId="Style_31" w:type="paragraph">
    <w:name w:val="heading 1"/>
    <w:next w:val="Style_6"/>
    <w:link w:val="Style_3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5" w:type="paragraph">
    <w:name w:val="ConsPlusNormal"/>
    <w:link w:val="Style_5_ch"/>
    <w:pPr>
      <w:widowControl w:val="0"/>
      <w:ind/>
    </w:pPr>
    <w:rPr>
      <w:rFonts w:ascii="Arial" w:hAnsi="Arial"/>
      <w:color w:val="000000"/>
      <w:sz w:val="20"/>
    </w:rPr>
  </w:style>
  <w:style w:styleId="Style_5_ch" w:type="character">
    <w:name w:val="ConsPlusNormal"/>
    <w:link w:val="Style_5"/>
    <w:rPr>
      <w:rFonts w:ascii="Arial" w:hAnsi="Arial"/>
      <w:color w:val="000000"/>
      <w:sz w:val="20"/>
    </w:rPr>
  </w:style>
  <w:style w:styleId="Style_4" w:type="paragraph">
    <w:name w:val="Hyperlink"/>
    <w:link w:val="Style_4_ch"/>
    <w:rPr>
      <w:color w:val="000080"/>
      <w:u w:val="single"/>
    </w:rPr>
  </w:style>
  <w:style w:styleId="Style_4_ch" w:type="character">
    <w:name w:val="Hyperlink"/>
    <w:link w:val="Style_4"/>
    <w:rPr>
      <w:color w:val="000080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Верхний колонтитул Знак"/>
    <w:basedOn w:val="Style_11"/>
    <w:link w:val="Style_35_ch"/>
  </w:style>
  <w:style w:styleId="Style_35_ch" w:type="character">
    <w:name w:val="Верхний колонтитул Знак"/>
    <w:basedOn w:val="Style_11_ch"/>
    <w:link w:val="Style_35"/>
  </w:style>
  <w:style w:styleId="Style_36" w:type="paragraph">
    <w:name w:val="caption"/>
    <w:basedOn w:val="Style_6"/>
    <w:link w:val="Style_36_ch"/>
    <w:pPr>
      <w:spacing w:after="120" w:before="120"/>
      <w:ind/>
    </w:pPr>
    <w:rPr>
      <w:rFonts w:ascii="Times New Roman" w:hAnsi="Times New Roman"/>
      <w:i w:val="1"/>
      <w:sz w:val="28"/>
    </w:rPr>
  </w:style>
  <w:style w:styleId="Style_36_ch" w:type="character">
    <w:name w:val="caption"/>
    <w:basedOn w:val="Style_6_ch"/>
    <w:link w:val="Style_36"/>
    <w:rPr>
      <w:rFonts w:ascii="Times New Roman" w:hAnsi="Times New Roman"/>
      <w:i w:val="1"/>
      <w:sz w:val="28"/>
    </w:rPr>
  </w:style>
  <w:style w:styleId="Style_37" w:type="paragraph">
    <w:name w:val="Нижний колонтитул Знак"/>
    <w:basedOn w:val="Style_11"/>
    <w:link w:val="Style_37_ch"/>
  </w:style>
  <w:style w:styleId="Style_37_ch" w:type="character">
    <w:name w:val="Нижний колонтитул Знак"/>
    <w:basedOn w:val="Style_11_ch"/>
    <w:link w:val="Style_37"/>
  </w:style>
  <w:style w:styleId="Style_38" w:type="paragraph">
    <w:name w:val="toc 9"/>
    <w:next w:val="Style_6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6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Заголовок"/>
    <w:basedOn w:val="Style_6"/>
    <w:next w:val="Style_9"/>
    <w:link w:val="Style_40_ch"/>
    <w:pPr>
      <w:keepNext w:val="1"/>
      <w:spacing w:after="120" w:before="240"/>
      <w:ind/>
    </w:pPr>
    <w:rPr>
      <w:rFonts w:ascii="Times New Roman" w:hAnsi="Times New Roman"/>
      <w:sz w:val="32"/>
    </w:rPr>
  </w:style>
  <w:style w:styleId="Style_40_ch" w:type="character">
    <w:name w:val="Заголовок"/>
    <w:basedOn w:val="Style_6_ch"/>
    <w:link w:val="Style_40"/>
    <w:rPr>
      <w:rFonts w:ascii="Times New Roman" w:hAnsi="Times New Roman"/>
      <w:sz w:val="32"/>
    </w:rPr>
  </w:style>
  <w:style w:styleId="Style_23" w:type="paragraph">
    <w:name w:val="Содержимое таблицы"/>
    <w:basedOn w:val="Style_6"/>
    <w:link w:val="Style_23_ch"/>
  </w:style>
  <w:style w:styleId="Style_23_ch" w:type="character">
    <w:name w:val="Содержимое таблицы"/>
    <w:basedOn w:val="Style_6_ch"/>
    <w:link w:val="Style_23"/>
  </w:style>
  <w:style w:styleId="Style_41" w:type="paragraph">
    <w:name w:val="Указатель1"/>
    <w:basedOn w:val="Style_6"/>
    <w:link w:val="Style_41_ch"/>
    <w:rPr>
      <w:rFonts w:ascii="Times New Roman" w:hAnsi="Times New Roman"/>
    </w:rPr>
  </w:style>
  <w:style w:styleId="Style_41_ch" w:type="character">
    <w:name w:val="Указатель1"/>
    <w:basedOn w:val="Style_6_ch"/>
    <w:link w:val="Style_41"/>
    <w:rPr>
      <w:rFonts w:ascii="Times New Roman" w:hAnsi="Times New Roman"/>
    </w:rPr>
  </w:style>
  <w:style w:styleId="Style_42" w:type="paragraph">
    <w:name w:val="toc 5"/>
    <w:next w:val="Style_6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List"/>
    <w:basedOn w:val="Style_9"/>
    <w:link w:val="Style_43_ch"/>
    <w:rPr>
      <w:rFonts w:ascii="Times New Roman" w:hAnsi="Times New Roman"/>
    </w:rPr>
  </w:style>
  <w:style w:styleId="Style_43_ch" w:type="character">
    <w:name w:val="List"/>
    <w:basedOn w:val="Style_9_ch"/>
    <w:link w:val="Style_43"/>
    <w:rPr>
      <w:rFonts w:ascii="Times New Roman" w:hAnsi="Times New Roman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6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6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6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2025-01-14T09:12:47Z</dcterms:modified>
</cp:coreProperties>
</file>