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ЖКХ и ТЭК администрации Туапсинского муниципального округа</w:t>
      </w:r>
    </w:p>
    <w:p w14:paraId="02000000">
      <w:pPr>
        <w:ind w:firstLine="0" w:left="4961"/>
      </w:pPr>
    </w:p>
    <w:p w14:paraId="03000000">
      <w:pPr>
        <w:ind w:firstLine="0" w:left="4961"/>
      </w:pPr>
      <w:r>
        <w:t xml:space="preserve">Дацишину Д.В </w:t>
      </w:r>
    </w:p>
    <w:p w14:paraId="04000000">
      <w:pPr>
        <w:ind/>
        <w:jc w:val="both"/>
        <w:rPr>
          <w:b w:val="1"/>
        </w:rPr>
      </w:pPr>
    </w:p>
    <w:p w14:paraId="05000000">
      <w:pPr>
        <w:ind/>
        <w:jc w:val="center"/>
        <w:rPr>
          <w:b w:val="1"/>
        </w:rPr>
      </w:pPr>
    </w:p>
    <w:p w14:paraId="06000000">
      <w:pPr>
        <w:ind/>
        <w:jc w:val="center"/>
        <w:rPr>
          <w:b w:val="1"/>
        </w:rPr>
      </w:pPr>
      <w:r>
        <w:rPr>
          <w:b w:val="1"/>
        </w:rPr>
        <w:t>Заключение</w:t>
      </w:r>
    </w:p>
    <w:p w14:paraId="07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rFonts w:ascii="Times New Roman" w:hAnsi="Times New Roman"/>
          <w:b w:val="0"/>
          <w:color w:val="000000"/>
          <w:sz w:val="28"/>
        </w:rPr>
        <w:t xml:space="preserve">О подготовке </w:t>
      </w:r>
      <w:r>
        <w:rPr>
          <w:rFonts w:ascii="Times New Roman" w:hAnsi="Times New Roman"/>
          <w:b w:val="0"/>
          <w:color w:val="000000"/>
          <w:sz w:val="28"/>
        </w:rPr>
        <w:t>многоквартирных и жилых домов</w:t>
      </w:r>
      <w:r>
        <w:rPr>
          <w:rFonts w:ascii="Times New Roman" w:hAnsi="Times New Roman"/>
          <w:b w:val="0"/>
          <w:color w:val="000000"/>
          <w:sz w:val="28"/>
        </w:rPr>
        <w:t>,</w:t>
      </w:r>
      <w:r>
        <w:rPr>
          <w:rFonts w:ascii="Times New Roman" w:hAnsi="Times New Roman"/>
          <w:b w:val="0"/>
          <w:color w:val="000000"/>
          <w:sz w:val="28"/>
        </w:rPr>
        <w:t xml:space="preserve"> </w:t>
      </w:r>
      <w:r>
        <w:rPr>
          <w:rFonts w:ascii="Times New Roman" w:hAnsi="Times New Roman"/>
          <w:b w:val="0"/>
          <w:color w:val="000000"/>
          <w:sz w:val="28"/>
        </w:rPr>
        <w:t>р</w:t>
      </w:r>
      <w:r>
        <w:rPr>
          <w:rFonts w:ascii="Times New Roman" w:hAnsi="Times New Roman"/>
          <w:b w:val="0"/>
          <w:color w:val="000000"/>
          <w:sz w:val="28"/>
        </w:rPr>
        <w:t>асположенн</w:t>
      </w:r>
      <w:r>
        <w:rPr>
          <w:rFonts w:ascii="Times New Roman" w:hAnsi="Times New Roman"/>
          <w:b w:val="0"/>
          <w:color w:val="000000"/>
          <w:sz w:val="28"/>
        </w:rPr>
        <w:t>ых</w:t>
      </w:r>
      <w:r>
        <w:rPr>
          <w:rFonts w:ascii="Times New Roman" w:hAnsi="Times New Roman"/>
          <w:b w:val="0"/>
          <w:color w:val="000000"/>
          <w:sz w:val="28"/>
        </w:rPr>
        <w:t xml:space="preserve"> </w:t>
      </w:r>
      <w:r>
        <w:rPr>
          <w:rFonts w:ascii="Times New Roman" w:hAnsi="Times New Roman"/>
          <w:b w:val="0"/>
          <w:color w:val="000000"/>
          <w:sz w:val="28"/>
        </w:rPr>
        <w:t>на территории</w:t>
      </w:r>
      <w:r>
        <w:rPr>
          <w:rFonts w:ascii="Times New Roman" w:hAnsi="Times New Roman"/>
          <w:b w:val="0"/>
          <w:color w:val="000000"/>
          <w:sz w:val="28"/>
        </w:rPr>
        <w:t xml:space="preserve"> Туапсинского </w:t>
      </w:r>
    </w:p>
    <w:p w14:paraId="08000000">
      <w:pPr>
        <w:tabs>
          <w:tab w:leader="none" w:pos="851" w:val="left"/>
        </w:tabs>
        <w:ind/>
        <w:jc w:val="center"/>
        <w:rPr>
          <w:rFonts w:ascii="Times New Roman" w:hAnsi="Times New Roman"/>
          <w:b w:val="0"/>
          <w:color w:val="000000"/>
          <w:sz w:val="28"/>
        </w:rPr>
      </w:pPr>
      <w:r>
        <w:rPr>
          <w:rFonts w:ascii="Times New Roman" w:hAnsi="Times New Roman"/>
          <w:b w:val="0"/>
          <w:color w:val="000000"/>
          <w:sz w:val="28"/>
        </w:rPr>
        <w:t>м</w:t>
      </w:r>
      <w:r>
        <w:rPr>
          <w:rFonts w:ascii="Times New Roman" w:hAnsi="Times New Roman"/>
          <w:b w:val="0"/>
          <w:color w:val="000000"/>
          <w:sz w:val="28"/>
        </w:rPr>
        <w:t>униципального</w:t>
      </w:r>
      <w:r>
        <w:rPr>
          <w:rFonts w:ascii="Times New Roman" w:hAnsi="Times New Roman"/>
          <w:b w:val="0"/>
          <w:color w:val="000000"/>
          <w:sz w:val="28"/>
        </w:rPr>
        <w:t xml:space="preserve"> </w:t>
      </w:r>
      <w:r>
        <w:rPr>
          <w:rFonts w:ascii="Times New Roman" w:hAnsi="Times New Roman"/>
          <w:b w:val="0"/>
          <w:color w:val="000000"/>
          <w:sz w:val="28"/>
        </w:rPr>
        <w:t>округа к осенне-зимнему</w:t>
      </w:r>
    </w:p>
    <w:p w14:paraId="09000000">
      <w:pPr>
        <w:tabs>
          <w:tab w:leader="none" w:pos="851" w:val="left"/>
        </w:tabs>
        <w:ind/>
        <w:jc w:val="center"/>
        <w:rPr>
          <w:b w:val="0"/>
          <w:color w:val="000000"/>
        </w:rPr>
      </w:pPr>
      <w:r>
        <w:rPr>
          <w:rFonts w:ascii="Times New Roman" w:hAnsi="Times New Roman"/>
          <w:b w:val="0"/>
          <w:color w:val="000000"/>
          <w:sz w:val="28"/>
        </w:rPr>
        <w:t>периоду 2025-2026 годов»</w:t>
      </w:r>
    </w:p>
    <w:p w14:paraId="0A000000">
      <w:pPr>
        <w:ind/>
        <w:jc w:val="center"/>
        <w:rPr>
          <w:b w:val="1"/>
        </w:rPr>
      </w:pPr>
    </w:p>
    <w:p w14:paraId="0B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rFonts w:ascii="Times New Roman" w:hAnsi="Times New Roman"/>
          <w:b w:val="0"/>
          <w:color w:val="000000"/>
          <w:sz w:val="28"/>
        </w:rPr>
        <w:t xml:space="preserve">О подготовке </w:t>
      </w:r>
      <w:r>
        <w:rPr>
          <w:rFonts w:ascii="Times New Roman" w:hAnsi="Times New Roman"/>
          <w:b w:val="0"/>
          <w:color w:val="000000"/>
          <w:sz w:val="28"/>
        </w:rPr>
        <w:t>многоквартирных и жилых домов</w:t>
      </w:r>
      <w:r>
        <w:rPr>
          <w:rFonts w:ascii="Times New Roman" w:hAnsi="Times New Roman"/>
          <w:b w:val="0"/>
          <w:color w:val="000000"/>
          <w:sz w:val="28"/>
        </w:rPr>
        <w:t>,</w:t>
      </w:r>
      <w:r>
        <w:rPr>
          <w:rFonts w:ascii="Times New Roman" w:hAnsi="Times New Roman"/>
          <w:b w:val="0"/>
          <w:color w:val="000000"/>
          <w:sz w:val="28"/>
        </w:rPr>
        <w:t xml:space="preserve"> </w:t>
      </w:r>
      <w:r>
        <w:rPr>
          <w:rFonts w:ascii="Times New Roman" w:hAnsi="Times New Roman"/>
          <w:b w:val="0"/>
          <w:color w:val="000000"/>
          <w:sz w:val="28"/>
        </w:rPr>
        <w:t>р</w:t>
      </w:r>
      <w:r>
        <w:rPr>
          <w:rFonts w:ascii="Times New Roman" w:hAnsi="Times New Roman"/>
          <w:b w:val="0"/>
          <w:color w:val="000000"/>
          <w:sz w:val="28"/>
        </w:rPr>
        <w:t>асположенн</w:t>
      </w:r>
      <w:r>
        <w:rPr>
          <w:rFonts w:ascii="Times New Roman" w:hAnsi="Times New Roman"/>
          <w:b w:val="0"/>
          <w:color w:val="000000"/>
          <w:sz w:val="28"/>
        </w:rPr>
        <w:t>ых</w:t>
      </w:r>
      <w:r>
        <w:rPr>
          <w:rFonts w:ascii="Times New Roman" w:hAnsi="Times New Roman"/>
          <w:b w:val="0"/>
          <w:color w:val="000000"/>
          <w:sz w:val="28"/>
        </w:rPr>
        <w:t xml:space="preserve"> </w:t>
      </w:r>
      <w:r>
        <w:rPr>
          <w:rFonts w:ascii="Times New Roman" w:hAnsi="Times New Roman"/>
          <w:b w:val="0"/>
          <w:color w:val="000000"/>
          <w:sz w:val="28"/>
        </w:rPr>
        <w:t>на территории</w:t>
      </w:r>
      <w:r>
        <w:rPr>
          <w:rFonts w:ascii="Times New Roman" w:hAnsi="Times New Roman"/>
          <w:b w:val="0"/>
          <w:color w:val="000000"/>
          <w:sz w:val="28"/>
        </w:rPr>
        <w:t xml:space="preserve"> Туапсинского </w:t>
      </w:r>
      <w:r>
        <w:rPr>
          <w:rFonts w:ascii="Times New Roman" w:hAnsi="Times New Roman"/>
          <w:b w:val="0"/>
          <w:color w:val="000000"/>
          <w:sz w:val="28"/>
        </w:rPr>
        <w:t>м</w:t>
      </w:r>
      <w:r>
        <w:rPr>
          <w:rFonts w:ascii="Times New Roman" w:hAnsi="Times New Roman"/>
          <w:b w:val="0"/>
          <w:color w:val="000000"/>
          <w:sz w:val="28"/>
        </w:rPr>
        <w:t>униципального</w:t>
      </w:r>
      <w:r>
        <w:rPr>
          <w:rFonts w:ascii="Times New Roman" w:hAnsi="Times New Roman"/>
          <w:b w:val="0"/>
          <w:color w:val="000000"/>
          <w:sz w:val="28"/>
        </w:rPr>
        <w:t xml:space="preserve"> </w:t>
      </w:r>
      <w:r>
        <w:rPr>
          <w:rFonts w:ascii="Times New Roman" w:hAnsi="Times New Roman"/>
          <w:b w:val="0"/>
          <w:color w:val="000000"/>
          <w:sz w:val="28"/>
        </w:rPr>
        <w:t xml:space="preserve">округа к осенне-зимнему </w:t>
      </w:r>
      <w:r>
        <w:rPr>
          <w:rFonts w:ascii="Times New Roman" w:hAnsi="Times New Roman"/>
          <w:b w:val="0"/>
          <w:color w:val="000000"/>
          <w:sz w:val="28"/>
        </w:rPr>
        <w:t>периоду 2025-2026 годов</w:t>
      </w:r>
      <w:r>
        <w:t>»</w:t>
      </w:r>
      <w:bookmarkStart w:id="1" w:name="_GoBack"/>
      <w:bookmarkEnd w:id="1"/>
      <w:r>
        <w:rPr>
          <w:b w:val="1"/>
        </w:rPr>
        <w:t xml:space="preserve">, </w:t>
      </w:r>
      <w:r>
        <w:t>поступивший из управления ЖКХ и ТЭК администрации Туапсинского муниципального округа установил:</w:t>
      </w:r>
    </w:p>
    <w:p w14:paraId="0C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pPr>
        <w:ind w:firstLine="567" w:left="0"/>
        <w:jc w:val="both"/>
      </w:pPr>
      <w:r>
        <w:rPr>
          <w:color w:val="000000"/>
          <w:sz w:val="28"/>
        </w:rPr>
        <w:t>Федеральным законом от 6 октября 2003 г.</w:t>
      </w:r>
      <w:r>
        <w:rPr>
          <w:color w:val="000000"/>
          <w:sz w:val="28"/>
        </w:rPr>
        <w:t xml:space="preserve"> № 131-</w:t>
      </w:r>
      <w:r>
        <w:rPr>
          <w:color w:val="000000"/>
          <w:sz w:val="28"/>
        </w:rPr>
        <w:t xml:space="preserve">ФЗ «Об общих принципах организации местного самоуправления в Российской Федерации», </w:t>
      </w:r>
      <w:r>
        <w:rPr>
          <w:sz w:val="28"/>
        </w:rPr>
        <w:t>Приказ</w:t>
      </w:r>
      <w:r>
        <w:rPr>
          <w:sz w:val="28"/>
        </w:rPr>
        <w:t>ом</w:t>
      </w:r>
      <w:r>
        <w:rPr>
          <w:sz w:val="28"/>
        </w:rPr>
        <w:t xml:space="preserve"> Минэнерго России от 13 ноября </w:t>
      </w:r>
      <w:r>
        <w:rPr>
          <w:sz w:val="28"/>
        </w:rPr>
        <w:t>2024</w:t>
      </w:r>
      <w:r>
        <w:rPr>
          <w:sz w:val="28"/>
        </w:rPr>
        <w:t xml:space="preserve"> г.</w:t>
      </w:r>
      <w:r>
        <w:rPr>
          <w:sz w:val="28"/>
        </w:rPr>
        <w:t xml:space="preserve"> № 2234</w:t>
      </w:r>
      <w:r>
        <w:rPr>
          <w:sz w:val="28"/>
        </w:rPr>
        <w:t xml:space="preserve"> </w:t>
      </w:r>
      <w:r>
        <w:rPr>
          <w:sz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0E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0F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0000000">
      <w:pPr>
        <w:ind w:firstLine="567" w:left="0"/>
        <w:jc w:val="both"/>
      </w:pPr>
      <w:r>
        <w:t>4. Проект нормативного правового акта может быть рекомендован для официального принятия.</w:t>
      </w:r>
    </w:p>
    <w:p w14:paraId="11000000"/>
    <w:p w14:paraId="12000000"/>
    <w:p w14:paraId="13000000">
      <w:r>
        <w:t>Начальник</w:t>
      </w:r>
    </w:p>
    <w:p w14:paraId="14000000">
      <w:r>
        <w:t>правового управления администрации</w:t>
      </w:r>
    </w:p>
    <w:p w14:paraId="15000000">
      <w:r>
        <w:t>Туапсинского муниципального округа                                               М.А.</w:t>
      </w:r>
      <w:r>
        <w:t xml:space="preserve"> </w:t>
      </w:r>
      <w:r>
        <w:t>Синенко</w:t>
      </w:r>
    </w:p>
    <w:sectPr>
      <w:pgSz w:h="16838" w:orient="portrait" w:w="11906"/>
      <w:pgMar w:bottom="822" w:footer="709" w:gutter="0" w:header="709" w:left="1701" w:right="567" w:top="992"/>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Default Paragraph Font"/>
    <w:link w:val="Style_6_ch"/>
  </w:style>
  <w:style w:styleId="Style_6_ch" w:type="character">
    <w:name w:val="Default Paragraph Font"/>
    <w:link w:val="Style_6"/>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Normal (Web)"/>
    <w:basedOn w:val="Style_2"/>
    <w:link w:val="Style_8_ch"/>
    <w:rPr>
      <w:sz w:val="24"/>
    </w:rPr>
  </w:style>
  <w:style w:styleId="Style_8_ch" w:type="character">
    <w:name w:val="Normal (Web)"/>
    <w:basedOn w:val="Style_2_ch"/>
    <w:link w:val="Style_8"/>
    <w:rPr>
      <w:sz w:val="24"/>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Strong"/>
    <w:link w:val="Style_11_ch"/>
    <w:rPr>
      <w:rFonts w:ascii="Times New Roman" w:hAnsi="Times New Roman"/>
      <w:b w:val="1"/>
    </w:rPr>
  </w:style>
  <w:style w:styleId="Style_11_ch" w:type="character">
    <w:name w:val="Strong"/>
    <w:link w:val="Style_11"/>
    <w:rPr>
      <w:rFonts w:ascii="Times New Roman" w:hAnsi="Times New Roman"/>
      <w:b w:val="1"/>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ConsPlusNormal"/>
    <w:link w:val="Style_15_ch"/>
    <w:pPr>
      <w:widowControl w:val="0"/>
      <w:spacing w:after="0" w:line="240" w:lineRule="auto"/>
      <w:ind/>
    </w:pPr>
    <w:rPr>
      <w:rFonts w:ascii="Calibri" w:hAnsi="Calibri"/>
    </w:rPr>
  </w:style>
  <w:style w:styleId="Style_15_ch" w:type="character">
    <w:name w:val="ConsPlusNormal"/>
    <w:link w:val="Style_15"/>
    <w:rPr>
      <w:rFonts w:ascii="Calibri" w:hAnsi="Calibri"/>
    </w:rPr>
  </w:style>
  <w:style w:styleId="Style_1" w:type="paragraph">
    <w:name w:val="Hyperlink"/>
    <w:basedOn w:val="Style_6"/>
    <w:link w:val="Style_1_ch"/>
    <w:rPr>
      <w:color w:val="0000FF"/>
      <w:u w:val="single"/>
    </w:rPr>
  </w:style>
  <w:style w:styleId="Style_1_ch" w:type="character">
    <w:name w:val="Hyperlink"/>
    <w:basedOn w:val="Style_6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6" w:type="paragraph">
    <w:name w:val="Balloon Text"/>
    <w:basedOn w:val="Style_2"/>
    <w:link w:val="Style_26_ch"/>
    <w:rPr>
      <w:rFonts w:ascii="Tahoma" w:hAnsi="Tahoma"/>
      <w:sz w:val="16"/>
    </w:rPr>
  </w:style>
  <w:style w:styleId="Style_26_ch" w:type="character">
    <w:name w:val="Balloon Text"/>
    <w:basedOn w:val="Style_2_ch"/>
    <w:link w:val="Style_26"/>
    <w:rPr>
      <w:rFonts w:ascii="Tahoma" w:hAnsi="Tahoma"/>
      <w:sz w:val="16"/>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2025-04-22T14:15:58Z</dcterms:modified>
</cp:coreProperties>
</file>