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образования администрации Туапсинского муниципального округа</w:t>
      </w:r>
    </w:p>
    <w:p w14:paraId="02000000">
      <w:pPr>
        <w:ind w:firstLine="0" w:left="4961"/>
      </w:pPr>
    </w:p>
    <w:p w14:paraId="03000000">
      <w:pPr>
        <w:ind w:firstLine="0" w:left="4961"/>
      </w:pPr>
      <w:r>
        <w:t>Зайцевой Е.А.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О</w:t>
      </w:r>
      <w:r>
        <w:rPr>
          <w:b w:val="0"/>
          <w:sz w:val="28"/>
        </w:rPr>
        <w:t xml:space="preserve">б утверждении Порядка </w:t>
      </w:r>
    </w:p>
    <w:p w14:paraId="09000000">
      <w:pPr>
        <w:ind/>
        <w:jc w:val="center"/>
        <w:rPr>
          <w:b w:val="0"/>
        </w:rPr>
      </w:pPr>
      <w:r>
        <w:rPr>
          <w:b w:val="0"/>
          <w:sz w:val="28"/>
        </w:rPr>
        <w:t xml:space="preserve">определения объема </w:t>
      </w:r>
      <w:r>
        <w:rPr>
          <w:b w:val="0"/>
          <w:sz w:val="28"/>
        </w:rPr>
        <w:t>и предоставления субсидии</w:t>
      </w:r>
      <w:r>
        <w:rPr>
          <w:b w:val="0"/>
          <w:sz w:val="28"/>
        </w:rPr>
        <w:t xml:space="preserve"> </w:t>
      </w:r>
      <w:r>
        <w:rPr>
          <w:b w:val="0"/>
          <w:sz w:val="28"/>
        </w:rPr>
        <w:t xml:space="preserve">по обеспечению отдыха </w:t>
      </w:r>
    </w:p>
    <w:p w14:paraId="0A000000">
      <w:pPr>
        <w:ind/>
        <w:jc w:val="center"/>
        <w:rPr>
          <w:b w:val="0"/>
        </w:rPr>
      </w:pPr>
      <w:r>
        <w:rPr>
          <w:b w:val="0"/>
          <w:sz w:val="28"/>
        </w:rPr>
        <w:t xml:space="preserve">детей в каникулярное время в профильных лагерях, </w:t>
      </w:r>
      <w:r>
        <w:rPr>
          <w:b w:val="0"/>
          <w:sz w:val="28"/>
        </w:rPr>
        <w:t xml:space="preserve">лагерях труда и </w:t>
      </w:r>
      <w:r>
        <w:rPr>
          <w:b w:val="0"/>
          <w:sz w:val="28"/>
        </w:rPr>
        <w:t>отдыха</w:t>
      </w:r>
      <w:r>
        <w:rPr>
          <w:b w:val="0"/>
          <w:sz w:val="28"/>
        </w:rPr>
        <w:t xml:space="preserve"> организованных муниципальными </w:t>
      </w:r>
      <w:r>
        <w:rPr>
          <w:b w:val="0"/>
          <w:sz w:val="28"/>
        </w:rPr>
        <w:t>образовательными организациями, подведомственны</w:t>
      </w:r>
      <w:r>
        <w:rPr>
          <w:b w:val="0"/>
          <w:sz w:val="28"/>
        </w:rPr>
        <w:t xml:space="preserve">ми </w:t>
      </w:r>
      <w:r>
        <w:rPr>
          <w:b w:val="0"/>
          <w:sz w:val="28"/>
        </w:rPr>
        <w:t xml:space="preserve">управлению образования администрации </w:t>
      </w:r>
      <w:r>
        <w:rPr>
          <w:b w:val="0"/>
          <w:sz w:val="28"/>
        </w:rPr>
        <w:t xml:space="preserve">Туапсинского </w:t>
      </w:r>
      <w:r>
        <w:rPr>
          <w:b w:val="0"/>
          <w:sz w:val="28"/>
        </w:rPr>
        <w:t>муниципального округа</w:t>
      </w:r>
      <w:r>
        <w:rPr>
          <w:b w:val="0"/>
          <w:sz w:val="28"/>
        </w:rPr>
        <w:t>,</w:t>
      </w:r>
      <w:r>
        <w:rPr>
          <w:b w:val="0"/>
          <w:sz w:val="28"/>
        </w:rPr>
        <w:t xml:space="preserve"> некоммерческой</w:t>
      </w:r>
      <w:r>
        <w:rPr>
          <w:b w:val="0"/>
          <w:sz w:val="28"/>
        </w:rPr>
        <w:t xml:space="preserve"> </w:t>
      </w:r>
      <w:r>
        <w:rPr>
          <w:b w:val="0"/>
          <w:sz w:val="28"/>
        </w:rPr>
        <w:t xml:space="preserve">организации, </w:t>
      </w:r>
      <w:r>
        <w:rPr>
          <w:b w:val="0"/>
          <w:sz w:val="28"/>
        </w:rPr>
        <w:t>осуществляющей</w:t>
      </w:r>
      <w:r>
        <w:rPr>
          <w:b w:val="0"/>
          <w:sz w:val="28"/>
        </w:rPr>
        <w:t xml:space="preserve"> организацию</w:t>
      </w:r>
      <w:r>
        <w:rPr>
          <w:b w:val="0"/>
          <w:sz w:val="28"/>
        </w:rPr>
        <w:t xml:space="preserve"> </w:t>
      </w:r>
      <w:r>
        <w:rPr>
          <w:b w:val="0"/>
          <w:sz w:val="28"/>
        </w:rPr>
        <w:t xml:space="preserve">горячего питания </w:t>
      </w:r>
      <w:r>
        <w:rPr>
          <w:b w:val="0"/>
          <w:sz w:val="28"/>
        </w:rPr>
        <w:t xml:space="preserve">и о признании </w:t>
      </w:r>
      <w:r>
        <w:rPr>
          <w:b w:val="0"/>
          <w:sz w:val="28"/>
        </w:rPr>
        <w:t>утратившим</w:t>
      </w:r>
      <w:r>
        <w:rPr>
          <w:b w:val="0"/>
          <w:sz w:val="28"/>
        </w:rPr>
        <w:t xml:space="preserve"> силу постановления </w:t>
      </w:r>
    </w:p>
    <w:p w14:paraId="0B000000">
      <w:pPr>
        <w:ind/>
        <w:jc w:val="center"/>
        <w:outlineLvl w:val="0"/>
        <w:rPr>
          <w:b w:val="0"/>
          <w:sz w:val="28"/>
        </w:rPr>
      </w:pPr>
      <w:r>
        <w:rPr>
          <w:b w:val="0"/>
          <w:sz w:val="28"/>
        </w:rPr>
        <w:t xml:space="preserve">администрации муниципального образования </w:t>
      </w:r>
      <w:r>
        <w:rPr>
          <w:b w:val="0"/>
          <w:sz w:val="28"/>
        </w:rPr>
        <w:t xml:space="preserve">Туапсинский район от </w:t>
      </w:r>
      <w:r>
        <w:rPr>
          <w:b w:val="0"/>
          <w:sz w:val="28"/>
        </w:rPr>
        <w:t>09</w:t>
      </w:r>
      <w:r>
        <w:rPr>
          <w:b w:val="0"/>
          <w:sz w:val="28"/>
        </w:rPr>
        <w:t xml:space="preserve"> </w:t>
      </w:r>
      <w:r>
        <w:rPr>
          <w:b w:val="0"/>
          <w:sz w:val="28"/>
        </w:rPr>
        <w:t>июня</w:t>
      </w:r>
      <w:r>
        <w:rPr>
          <w:b w:val="0"/>
          <w:sz w:val="28"/>
        </w:rPr>
        <w:t xml:space="preserve"> 2022 г. №</w:t>
      </w:r>
      <w:r>
        <w:rPr>
          <w:b w:val="0"/>
          <w:sz w:val="28"/>
        </w:rPr>
        <w:t xml:space="preserve"> </w:t>
      </w:r>
      <w:r>
        <w:rPr>
          <w:b w:val="0"/>
          <w:sz w:val="28"/>
        </w:rPr>
        <w:t>942</w:t>
      </w:r>
      <w:r>
        <w:rPr>
          <w:b w:val="0"/>
          <w:sz w:val="28"/>
        </w:rPr>
        <w:t xml:space="preserve"> </w:t>
      </w:r>
      <w:r>
        <w:rPr>
          <w:b w:val="0"/>
          <w:sz w:val="28"/>
        </w:rPr>
        <w:t xml:space="preserve">«Об утверждении Порядка определения объема </w:t>
      </w:r>
      <w:r>
        <w:rPr>
          <w:b w:val="0"/>
          <w:sz w:val="28"/>
        </w:rPr>
        <w:t xml:space="preserve">и предоставления субсидии по обеспечению отдыха </w:t>
      </w:r>
      <w:r>
        <w:rPr>
          <w:b w:val="0"/>
          <w:sz w:val="28"/>
        </w:rPr>
        <w:t xml:space="preserve">детей в каникулярное время в профильных лагерях, </w:t>
      </w:r>
      <w:r>
        <w:rPr>
          <w:b w:val="0"/>
          <w:sz w:val="28"/>
        </w:rPr>
        <w:t xml:space="preserve">организованных муниципальными общеобразовательными </w:t>
      </w:r>
    </w:p>
    <w:p w14:paraId="0C000000">
      <w:pPr>
        <w:ind/>
        <w:jc w:val="center"/>
        <w:outlineLvl w:val="0"/>
        <w:rPr>
          <w:b w:val="0"/>
          <w:sz w:val="28"/>
        </w:rPr>
      </w:pPr>
      <w:r>
        <w:rPr>
          <w:b w:val="0"/>
          <w:sz w:val="28"/>
        </w:rPr>
        <w:t xml:space="preserve">организациями, подведомственными управлению </w:t>
      </w:r>
      <w:r>
        <w:rPr>
          <w:b w:val="0"/>
          <w:sz w:val="28"/>
        </w:rPr>
        <w:t xml:space="preserve">образования </w:t>
      </w:r>
    </w:p>
    <w:p w14:paraId="0D000000">
      <w:pPr>
        <w:ind/>
        <w:jc w:val="center"/>
        <w:outlineLvl w:val="0"/>
        <w:rPr>
          <w:b w:val="0"/>
          <w:sz w:val="28"/>
        </w:rPr>
      </w:pPr>
      <w:r>
        <w:rPr>
          <w:b w:val="0"/>
          <w:sz w:val="28"/>
        </w:rPr>
        <w:t xml:space="preserve">администрации муниципального </w:t>
      </w:r>
      <w:r>
        <w:rPr>
          <w:b w:val="0"/>
          <w:sz w:val="28"/>
        </w:rPr>
        <w:t xml:space="preserve">образования Туапсинский район, </w:t>
      </w:r>
      <w:r>
        <w:rPr>
          <w:b w:val="0"/>
          <w:sz w:val="28"/>
        </w:rPr>
        <w:t>некоммерческой</w:t>
      </w:r>
      <w:r>
        <w:rPr>
          <w:b w:val="0"/>
          <w:sz w:val="28"/>
        </w:rPr>
        <w:t xml:space="preserve"> </w:t>
      </w:r>
      <w:r>
        <w:rPr>
          <w:b w:val="0"/>
          <w:sz w:val="28"/>
        </w:rPr>
        <w:t xml:space="preserve">организации, осуществляющей организацию </w:t>
      </w:r>
    </w:p>
    <w:p w14:paraId="0E000000">
      <w:pPr>
        <w:ind/>
        <w:jc w:val="center"/>
        <w:outlineLvl w:val="0"/>
        <w:rPr>
          <w:b w:val="0"/>
          <w:sz w:val="28"/>
        </w:rPr>
      </w:pPr>
      <w:r>
        <w:rPr>
          <w:b w:val="0"/>
          <w:sz w:val="28"/>
        </w:rPr>
        <w:t>горячего питания»</w:t>
      </w:r>
    </w:p>
    <w:p w14:paraId="0F000000">
      <w:pPr>
        <w:ind/>
        <w:jc w:val="center"/>
        <w:rPr>
          <w:b w:val="1"/>
          <w:sz w:val="28"/>
        </w:rPr>
      </w:pPr>
    </w:p>
    <w:p w14:paraId="10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О</w:t>
      </w:r>
      <w:r>
        <w:rPr>
          <w:b w:val="0"/>
          <w:sz w:val="28"/>
        </w:rPr>
        <w:t xml:space="preserve">б утверждении Порядка </w:t>
      </w:r>
      <w:r>
        <w:rPr>
          <w:b w:val="0"/>
          <w:sz w:val="28"/>
        </w:rPr>
        <w:t xml:space="preserve">определения объема </w:t>
      </w:r>
      <w:r>
        <w:rPr>
          <w:b w:val="0"/>
          <w:sz w:val="28"/>
        </w:rPr>
        <w:t>и предоставления субсидии</w:t>
      </w:r>
      <w:r>
        <w:rPr>
          <w:b w:val="0"/>
          <w:sz w:val="28"/>
        </w:rPr>
        <w:t xml:space="preserve"> </w:t>
      </w:r>
      <w:r>
        <w:rPr>
          <w:b w:val="0"/>
          <w:sz w:val="28"/>
        </w:rPr>
        <w:t xml:space="preserve">по обеспечению отдыха </w:t>
      </w:r>
      <w:r>
        <w:rPr>
          <w:b w:val="0"/>
          <w:sz w:val="28"/>
        </w:rPr>
        <w:t xml:space="preserve">детей в каникулярное время в профильных лагерях, </w:t>
      </w:r>
      <w:r>
        <w:rPr>
          <w:b w:val="0"/>
          <w:sz w:val="28"/>
        </w:rPr>
        <w:t xml:space="preserve">лагерях труда и </w:t>
      </w:r>
      <w:r>
        <w:rPr>
          <w:b w:val="0"/>
          <w:sz w:val="28"/>
        </w:rPr>
        <w:t>отдыха</w:t>
      </w:r>
      <w:r>
        <w:rPr>
          <w:b w:val="0"/>
          <w:sz w:val="28"/>
        </w:rPr>
        <w:t xml:space="preserve"> организованных муниципальными </w:t>
      </w:r>
      <w:r>
        <w:rPr>
          <w:b w:val="0"/>
          <w:sz w:val="28"/>
        </w:rPr>
        <w:t>образовательными организациями, подведомственны</w:t>
      </w:r>
      <w:r>
        <w:rPr>
          <w:b w:val="0"/>
          <w:sz w:val="28"/>
        </w:rPr>
        <w:t xml:space="preserve">ми </w:t>
      </w:r>
      <w:r>
        <w:rPr>
          <w:b w:val="0"/>
          <w:sz w:val="28"/>
        </w:rPr>
        <w:t xml:space="preserve">управлению образования администрации </w:t>
      </w:r>
      <w:r>
        <w:rPr>
          <w:b w:val="0"/>
          <w:sz w:val="28"/>
        </w:rPr>
        <w:t xml:space="preserve">Туапсинского </w:t>
      </w:r>
      <w:r>
        <w:rPr>
          <w:b w:val="0"/>
          <w:sz w:val="28"/>
        </w:rPr>
        <w:t>муниципального округа</w:t>
      </w:r>
      <w:r>
        <w:rPr>
          <w:b w:val="0"/>
          <w:sz w:val="28"/>
        </w:rPr>
        <w:t>,</w:t>
      </w:r>
      <w:r>
        <w:rPr>
          <w:b w:val="0"/>
          <w:sz w:val="28"/>
        </w:rPr>
        <w:t xml:space="preserve"> некоммерческой</w:t>
      </w:r>
      <w:r>
        <w:rPr>
          <w:b w:val="0"/>
          <w:sz w:val="28"/>
        </w:rPr>
        <w:t xml:space="preserve"> </w:t>
      </w:r>
      <w:r>
        <w:rPr>
          <w:b w:val="0"/>
          <w:sz w:val="28"/>
        </w:rPr>
        <w:t xml:space="preserve">организации, </w:t>
      </w:r>
      <w:r>
        <w:rPr>
          <w:b w:val="0"/>
          <w:sz w:val="28"/>
        </w:rPr>
        <w:t>осуществляющей</w:t>
      </w:r>
      <w:r>
        <w:rPr>
          <w:b w:val="0"/>
          <w:sz w:val="28"/>
        </w:rPr>
        <w:t xml:space="preserve"> организацию</w:t>
      </w:r>
      <w:r>
        <w:rPr>
          <w:b w:val="0"/>
          <w:sz w:val="28"/>
        </w:rPr>
        <w:t xml:space="preserve"> </w:t>
      </w:r>
      <w:r>
        <w:rPr>
          <w:b w:val="0"/>
          <w:sz w:val="28"/>
        </w:rPr>
        <w:t xml:space="preserve">горячего питания </w:t>
      </w:r>
      <w:r>
        <w:rPr>
          <w:b w:val="0"/>
          <w:sz w:val="28"/>
        </w:rPr>
        <w:t xml:space="preserve">и о признании </w:t>
      </w:r>
      <w:r>
        <w:rPr>
          <w:b w:val="0"/>
          <w:sz w:val="28"/>
        </w:rPr>
        <w:t>утратившим</w:t>
      </w:r>
      <w:r>
        <w:rPr>
          <w:b w:val="0"/>
          <w:sz w:val="28"/>
        </w:rPr>
        <w:t xml:space="preserve"> силу постановления </w:t>
      </w:r>
      <w:r>
        <w:rPr>
          <w:b w:val="0"/>
          <w:sz w:val="28"/>
        </w:rPr>
        <w:t xml:space="preserve">администрации муниципального образования </w:t>
      </w:r>
      <w:r>
        <w:rPr>
          <w:b w:val="0"/>
          <w:sz w:val="28"/>
        </w:rPr>
        <w:t xml:space="preserve">Туапсинский район от </w:t>
      </w:r>
      <w:r>
        <w:rPr>
          <w:b w:val="0"/>
          <w:sz w:val="28"/>
        </w:rPr>
        <w:t>09</w:t>
      </w:r>
      <w:r>
        <w:rPr>
          <w:b w:val="0"/>
          <w:sz w:val="28"/>
        </w:rPr>
        <w:t xml:space="preserve"> </w:t>
      </w:r>
      <w:r>
        <w:rPr>
          <w:b w:val="0"/>
          <w:sz w:val="28"/>
        </w:rPr>
        <w:t>июня</w:t>
      </w:r>
      <w:r>
        <w:rPr>
          <w:b w:val="0"/>
          <w:sz w:val="28"/>
        </w:rPr>
        <w:t xml:space="preserve"> 2022 г. №</w:t>
      </w:r>
      <w:r>
        <w:rPr>
          <w:b w:val="0"/>
          <w:sz w:val="28"/>
        </w:rPr>
        <w:t xml:space="preserve"> </w:t>
      </w:r>
      <w:r>
        <w:rPr>
          <w:b w:val="0"/>
          <w:sz w:val="28"/>
        </w:rPr>
        <w:t>942</w:t>
      </w:r>
      <w:r>
        <w:rPr>
          <w:b w:val="0"/>
          <w:sz w:val="28"/>
        </w:rPr>
        <w:t xml:space="preserve"> </w:t>
      </w:r>
      <w:r>
        <w:rPr>
          <w:b w:val="0"/>
          <w:sz w:val="28"/>
        </w:rPr>
        <w:t xml:space="preserve">«Об утверждении Порядка определения объема </w:t>
      </w:r>
      <w:r>
        <w:rPr>
          <w:b w:val="0"/>
          <w:sz w:val="28"/>
        </w:rPr>
        <w:t xml:space="preserve">и предоставления субсидии по обеспечению отдыха </w:t>
      </w:r>
      <w:r>
        <w:rPr>
          <w:b w:val="0"/>
          <w:sz w:val="28"/>
        </w:rPr>
        <w:t xml:space="preserve">детей в каникулярное время в профильных лагерях, </w:t>
      </w:r>
      <w:r>
        <w:rPr>
          <w:b w:val="0"/>
          <w:sz w:val="28"/>
        </w:rPr>
        <w:t xml:space="preserve">организованных муниципальными общеобразовательными </w:t>
      </w:r>
      <w:r>
        <w:rPr>
          <w:b w:val="0"/>
          <w:sz w:val="28"/>
        </w:rPr>
        <w:t xml:space="preserve">организациями, подведомственными управлению </w:t>
      </w:r>
      <w:r>
        <w:rPr>
          <w:b w:val="0"/>
          <w:sz w:val="28"/>
        </w:rPr>
        <w:t xml:space="preserve">образования </w:t>
      </w:r>
      <w:r>
        <w:rPr>
          <w:b w:val="0"/>
          <w:sz w:val="28"/>
        </w:rPr>
        <w:t xml:space="preserve">администрации муниципального </w:t>
      </w:r>
      <w:r>
        <w:rPr>
          <w:b w:val="0"/>
          <w:sz w:val="28"/>
        </w:rPr>
        <w:t xml:space="preserve">образования Туапсинский район, </w:t>
      </w:r>
      <w:r>
        <w:rPr>
          <w:b w:val="0"/>
          <w:sz w:val="28"/>
        </w:rPr>
        <w:t>некоммерческой</w:t>
      </w:r>
      <w:r>
        <w:rPr>
          <w:b w:val="0"/>
          <w:sz w:val="28"/>
        </w:rPr>
        <w:t xml:space="preserve"> </w:t>
      </w:r>
      <w:r>
        <w:rPr>
          <w:b w:val="0"/>
          <w:sz w:val="28"/>
        </w:rPr>
        <w:t xml:space="preserve">организации, осуществляющей организацию </w:t>
      </w:r>
      <w:r>
        <w:rPr>
          <w:b w:val="0"/>
          <w:sz w:val="28"/>
        </w:rPr>
        <w:t>горячего питания»</w:t>
      </w:r>
      <w:bookmarkStart w:id="1" w:name="_GoBack"/>
      <w:bookmarkEnd w:id="1"/>
      <w:r>
        <w:rPr>
          <w:b w:val="0"/>
        </w:rPr>
        <w:t>,</w:t>
      </w:r>
      <w:r>
        <w:rPr>
          <w:b w:val="1"/>
        </w:rPr>
        <w:t xml:space="preserve"> </w:t>
      </w:r>
      <w:r>
        <w:t>поступивший из  управления образования администрации Туапсинского муниципального округа установил:</w:t>
      </w:r>
    </w:p>
    <w:p w14:paraId="11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2000000">
      <w:pPr>
        <w:ind w:firstLine="567" w:left="0"/>
        <w:jc w:val="both"/>
      </w:pPr>
      <w:r>
        <w:rPr>
          <w:sz w:val="28"/>
        </w:rPr>
        <w:t xml:space="preserve">Федеральным законом от 6 октября 2003 г. № 131-ФЗ «Об общих принципах организации местного самоуправления в Российской Федерации», </w:t>
      </w:r>
      <w:r>
        <w:rPr>
          <w:sz w:val="28"/>
        </w:rPr>
        <w:t>постановление</w:t>
      </w:r>
      <w:r>
        <w:rPr>
          <w:sz w:val="28"/>
        </w:rPr>
        <w:t xml:space="preserve">м Правительства РФ </w:t>
      </w:r>
      <w:r>
        <w:rPr>
          <w:sz w:val="28"/>
        </w:rPr>
        <w:t xml:space="preserve">от </w:t>
      </w:r>
      <w:r>
        <w:rPr>
          <w:sz w:val="28"/>
        </w:rPr>
        <w:t>25</w:t>
      </w:r>
      <w:r>
        <w:rPr>
          <w:sz w:val="28"/>
        </w:rPr>
        <w:t xml:space="preserve"> </w:t>
      </w:r>
      <w:r>
        <w:rPr>
          <w:sz w:val="28"/>
        </w:rPr>
        <w:t>октября</w:t>
      </w:r>
      <w:r>
        <w:rPr>
          <w:sz w:val="28"/>
        </w:rPr>
        <w:t xml:space="preserve"> 202</w:t>
      </w:r>
      <w:r>
        <w:rPr>
          <w:sz w:val="28"/>
        </w:rPr>
        <w:t>3</w:t>
      </w:r>
      <w:r>
        <w:rPr>
          <w:sz w:val="28"/>
        </w:rPr>
        <w:t xml:space="preserve"> г. </w:t>
      </w:r>
      <w:r>
        <w:rPr>
          <w:sz w:val="28"/>
        </w:rPr>
        <w:t>№</w:t>
      </w:r>
      <w:r>
        <w:rPr>
          <w:sz w:val="28"/>
        </w:rPr>
        <w:t xml:space="preserve"> 1</w:t>
      </w:r>
      <w:r>
        <w:rPr>
          <w:sz w:val="28"/>
        </w:rPr>
        <w:t xml:space="preserve">782 </w:t>
      </w:r>
      <w:r>
        <w:rPr>
          <w:sz w:val="28"/>
        </w:rPr>
        <w:t>«</w:t>
      </w:r>
      <w:r>
        <w:rPr>
          <w:sz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w:t>
      </w:r>
      <w:r>
        <w:rPr>
          <w:sz w:val="28"/>
        </w:rPr>
        <w:t xml:space="preserve"> </w:t>
      </w:r>
      <w:r>
        <w:rPr>
          <w:sz w:val="28"/>
        </w:rPr>
        <w:t xml:space="preserve">предпринимателям, а также физическим лицам - производителям товаров, работ, </w:t>
      </w:r>
      <w:r>
        <w:rPr>
          <w:sz w:val="28"/>
        </w:rPr>
        <w:t>услуг и проведение отборов получателей указанных субсидий, в том числе грантов в форме субсиди</w:t>
      </w:r>
      <w:r>
        <w:rPr>
          <w:sz w:val="28"/>
        </w:rPr>
        <w:t>й</w:t>
      </w:r>
      <w:r>
        <w:rPr>
          <w:sz w:val="28"/>
        </w:rPr>
        <w:t>»</w:t>
      </w:r>
      <w:r>
        <w:rPr>
          <w:sz w:val="28"/>
        </w:rPr>
        <w:t xml:space="preserve">, </w:t>
      </w:r>
      <w:r>
        <w:rPr>
          <w:sz w:val="28"/>
        </w:rPr>
        <w:t>с пунктом 2 статьи 78.1 Бюджетного кодекса Российской Федерации,</w:t>
      </w:r>
      <w:r>
        <w:rPr>
          <w:sz w:val="28"/>
        </w:rPr>
        <w:t xml:space="preserve"> </w:t>
      </w:r>
      <w:r>
        <w:rPr>
          <w:sz w:val="28"/>
        </w:rPr>
        <w:t>Законом Краснодарского края от 3</w:t>
      </w:r>
      <w:r>
        <w:rPr>
          <w:sz w:val="28"/>
        </w:rPr>
        <w:t xml:space="preserve"> марта </w:t>
      </w:r>
      <w:r>
        <w:rPr>
          <w:sz w:val="28"/>
        </w:rPr>
        <w:t xml:space="preserve">2010 </w:t>
      </w:r>
      <w:r>
        <w:rPr>
          <w:sz w:val="28"/>
        </w:rPr>
        <w:t xml:space="preserve">г. </w:t>
      </w:r>
      <w:r>
        <w:rPr>
          <w:sz w:val="28"/>
        </w:rPr>
        <w:br/>
      </w:r>
      <w:r>
        <w:rPr>
          <w:sz w:val="28"/>
        </w:rPr>
        <w:t xml:space="preserve">№ 1909-КЗ «О наделении органов местного самоуправления в Краснодарском крае отдельными государственными полномочиями Краснодарского края </w:t>
      </w:r>
      <w:r>
        <w:rPr>
          <w:sz w:val="28"/>
        </w:rPr>
        <w:br/>
      </w:r>
      <w:r>
        <w:rPr>
          <w:sz w:val="28"/>
        </w:rPr>
        <w:t>по организации и обеспечению отдыха и оздоровления</w:t>
      </w:r>
      <w:r>
        <w:rPr>
          <w:sz w:val="28"/>
        </w:rPr>
        <w:t xml:space="preserve"> детей»</w:t>
      </w:r>
      <w:r>
        <w:rPr>
          <w:sz w:val="28"/>
        </w:rPr>
        <w:t>,</w:t>
      </w:r>
      <w:r>
        <w:rPr>
          <w:sz w:val="28"/>
        </w:rPr>
        <w:t xml:space="preserve"> </w:t>
      </w:r>
      <w:r>
        <w:rPr>
          <w:sz w:val="28"/>
        </w:rPr>
        <w:t xml:space="preserve">решением Совета муниципального образования Туапсинский муниципальный округ Краснодарского края от 17 декабря 2024 № 93 «О бюджете муниципального образования Туапсинский муниципальный округ Краснодарского края </w:t>
      </w:r>
      <w:r>
        <w:rPr>
          <w:sz w:val="28"/>
        </w:rPr>
        <w:br/>
      </w:r>
      <w:r>
        <w:rPr>
          <w:sz w:val="28"/>
        </w:rPr>
        <w:t xml:space="preserve">на 2025 год и на плановый период 2026 и 2027 годов», </w:t>
      </w:r>
      <w:r>
        <w:rPr>
          <w:sz w:val="28"/>
        </w:rPr>
        <w:t>постановлен</w:t>
      </w:r>
      <w:r>
        <w:rPr>
          <w:sz w:val="28"/>
        </w:rPr>
        <w:t>ием</w:t>
      </w:r>
      <w:r>
        <w:rPr>
          <w:sz w:val="28"/>
        </w:rPr>
        <w:t xml:space="preserve"> администрации </w:t>
      </w:r>
      <w:r>
        <w:rPr>
          <w:sz w:val="28"/>
        </w:rPr>
        <w:t xml:space="preserve">муниципального образования </w:t>
      </w:r>
      <w:r>
        <w:rPr>
          <w:sz w:val="28"/>
        </w:rPr>
        <w:t xml:space="preserve">Туапсинский район </w:t>
      </w:r>
      <w:r>
        <w:rPr>
          <w:sz w:val="28"/>
        </w:rPr>
        <w:t xml:space="preserve">от </w:t>
      </w:r>
      <w:r>
        <w:rPr>
          <w:sz w:val="28"/>
        </w:rPr>
        <w:t>3</w:t>
      </w:r>
      <w:r>
        <w:rPr>
          <w:sz w:val="28"/>
        </w:rPr>
        <w:t xml:space="preserve"> </w:t>
      </w:r>
      <w:r>
        <w:rPr>
          <w:sz w:val="28"/>
        </w:rPr>
        <w:t>декабря</w:t>
      </w:r>
      <w:r>
        <w:rPr>
          <w:sz w:val="28"/>
        </w:rPr>
        <w:t xml:space="preserve"> 2015 г. № 2</w:t>
      </w:r>
      <w:r>
        <w:rPr>
          <w:sz w:val="28"/>
        </w:rPr>
        <w:t>744</w:t>
      </w:r>
      <w:r>
        <w:rPr>
          <w:sz w:val="28"/>
        </w:rPr>
        <w:t xml:space="preserve"> «</w:t>
      </w:r>
      <w:r>
        <w:rPr>
          <w:sz w:val="28"/>
        </w:rPr>
        <w:t>Развитие образования</w:t>
      </w:r>
      <w:r>
        <w:rPr>
          <w:sz w:val="28"/>
        </w:rPr>
        <w:t>»</w:t>
      </w:r>
      <w:r>
        <w:t>.</w:t>
      </w:r>
    </w:p>
    <w:p w14:paraId="13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4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5000000">
      <w:pPr>
        <w:ind w:firstLine="567" w:left="0"/>
        <w:jc w:val="both"/>
      </w:pPr>
      <w:r>
        <w:t>4. Проект нормативного правового акта может быть рекомендован для официального принятия.</w:t>
      </w:r>
    </w:p>
    <w:p w14:paraId="16000000"/>
    <w:p w14:paraId="17000000"/>
    <w:p w14:paraId="18000000">
      <w:r>
        <w:t>Начальник</w:t>
      </w:r>
    </w:p>
    <w:p w14:paraId="19000000">
      <w:r>
        <w:t>правового управления администрации</w:t>
      </w:r>
    </w:p>
    <w:p w14:paraId="1A000000">
      <w:r>
        <w:t>Туапсинского муниципального округа                                               М.А.</w:t>
      </w:r>
      <w:r>
        <w:t xml:space="preserve"> </w:t>
      </w:r>
      <w:r>
        <w:t>Синенко</w:t>
      </w:r>
    </w:p>
    <w:p w14:paraId="1B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Normal (Web)"/>
    <w:basedOn w:val="Style_2"/>
    <w:link w:val="Style_9_ch"/>
    <w:rPr>
      <w:sz w:val="24"/>
    </w:rPr>
  </w:style>
  <w:style w:styleId="Style_9_ch" w:type="character">
    <w:name w:val="Normal (Web)"/>
    <w:basedOn w:val="Style_2_ch"/>
    <w:link w:val="Style_9"/>
    <w:rPr>
      <w:sz w:val="24"/>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Strong"/>
    <w:link w:val="Style_11_ch"/>
    <w:rPr>
      <w:rFonts w:ascii="Times New Roman" w:hAnsi="Times New Roman"/>
      <w:b w:val="1"/>
    </w:rPr>
  </w:style>
  <w:style w:styleId="Style_11_ch" w:type="character">
    <w:name w:val="Strong"/>
    <w:link w:val="Style_11"/>
    <w:rPr>
      <w:rFonts w:ascii="Times New Roman" w:hAnsi="Times New Roman"/>
      <w:b w:val="1"/>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ConsPlusNormal"/>
    <w:link w:val="Style_13_ch"/>
    <w:pPr>
      <w:widowControl w:val="0"/>
      <w:spacing w:after="0" w:line="240" w:lineRule="auto"/>
      <w:ind/>
    </w:pPr>
    <w:rPr>
      <w:rFonts w:ascii="Calibri" w:hAnsi="Calibri"/>
    </w:rPr>
  </w:style>
  <w:style w:styleId="Style_13_ch" w:type="character">
    <w:name w:val="ConsPlusNormal"/>
    <w:link w:val="Style_13"/>
    <w:rPr>
      <w:rFonts w:ascii="Calibri" w:hAnsi="Calibri"/>
    </w:rPr>
  </w:style>
  <w:style w:styleId="Style_14" w:type="paragraph">
    <w:name w:val="Default Paragraph Font"/>
    <w:link w:val="Style_14_ch"/>
  </w:style>
  <w:style w:styleId="Style_14_ch" w:type="character">
    <w:name w:val="Default Paragraph Font"/>
    <w:link w:val="Style_14"/>
  </w:style>
  <w:style w:styleId="Style_15" w:type="paragraph">
    <w:name w:val="Balloon Text"/>
    <w:basedOn w:val="Style_2"/>
    <w:link w:val="Style_15_ch"/>
    <w:rPr>
      <w:rFonts w:ascii="Tahoma" w:hAnsi="Tahoma"/>
      <w:sz w:val="16"/>
    </w:rPr>
  </w:style>
  <w:style w:styleId="Style_15_ch" w:type="character">
    <w:name w:val="Balloon Text"/>
    <w:basedOn w:val="Style_2_ch"/>
    <w:link w:val="Style_15"/>
    <w:rPr>
      <w:rFonts w:ascii="Tahoma" w:hAnsi="Tahoma"/>
      <w:sz w:val="16"/>
    </w:rPr>
  </w:style>
  <w:style w:styleId="Style_16" w:type="paragraph">
    <w:name w:val="heading 1"/>
    <w:next w:val="Style_2"/>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 w:type="paragraph">
    <w:name w:val="Hyperlink"/>
    <w:basedOn w:val="Style_14"/>
    <w:link w:val="Style_1_ch"/>
    <w:rPr>
      <w:color w:val="0000FF"/>
      <w:u w:val="single"/>
    </w:rPr>
  </w:style>
  <w:style w:styleId="Style_1_ch" w:type="character">
    <w:name w:val="Hyperlink"/>
    <w:basedOn w:val="Style_14_ch"/>
    <w:link w:val="Style_1"/>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2025-04-09T16:12:00Z</dcterms:modified>
</cp:coreProperties>
</file>