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ЖКХ и ТЭК администрации Туапсинского муниципального округа</w:t>
      </w:r>
    </w:p>
    <w:p w14:paraId="02000000">
      <w:pPr>
        <w:ind w:firstLine="0" w:left="4961"/>
      </w:pPr>
    </w:p>
    <w:p w14:paraId="03000000">
      <w:pPr>
        <w:ind w:firstLine="0" w:left="4961"/>
        <w:rPr/>
      </w:pPr>
      <w:r>
        <w:rPr/>
        <w:t>Дацишину Д.В.</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pPr>
      <w:r>
        <w:t xml:space="preserve">по результатам экспертизы проекта постановления администрации Туапсинского муниципального округа </w:t>
      </w:r>
      <w:r>
        <w:t>«</w:t>
      </w:r>
      <w:r>
        <w:t>О внесении изменения в постановление администрации муниципального образования Туапсинский муниципальный округ Краснодарского края от 5 марта 2025 г. № 308 «Об утверждении Порядка предоставления дополнительной меры социальной поддержки отдельным категориям граждан за счет средств бюджета Туапсинского муниципального округа Краснодарского края в целях компенсации расходов (части расходов), связанных с переводом многоквартирных домов с сжиженного углеводородного газа на природный газ</w:t>
      </w:r>
      <w:r>
        <w:t>»</w:t>
      </w:r>
    </w:p>
    <w:p w14:paraId="09000000">
      <w:pPr>
        <w:ind w:hanging="900" w:left="900"/>
        <w:jc w:val="center"/>
        <w:rPr>
          <w:b w:val="1"/>
        </w:rPr>
      </w:pPr>
    </w:p>
    <w:p w14:paraId="0A000000">
      <w:pPr>
        <w:ind/>
        <w:jc w:val="center"/>
        <w:rPr>
          <w:b w:val="1"/>
        </w:rPr>
      </w:pPr>
    </w:p>
    <w:p w14:paraId="0B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Краснодарского края </w:t>
      </w:r>
      <w:r>
        <w:t>«</w:t>
      </w:r>
      <w:r>
        <w:t>О внесении изменения в постановление администрации муниципального образования Туапсинский муниципальный округ Краснодарского края от 5 марта 2025 г. № 308 «Об утверждении Порядка предоставления дополнительной меры социальной поддержки отдельным категориям граждан за счет средств бюджета Туапсинского муниципального округа Краснодарского края в целях компенсации расходов (части расходов), связанных с переводом многоквартирных домов с сжиженного углеводородного газа на природный газ</w:t>
      </w:r>
      <w:r>
        <w:t>»</w:t>
      </w:r>
      <w:bookmarkStart w:id="1" w:name="_GoBack"/>
      <w:bookmarkEnd w:id="1"/>
      <w:r>
        <w:rPr>
          <w:b w:val="1"/>
        </w:rPr>
        <w:t xml:space="preserve">, </w:t>
      </w:r>
      <w:r>
        <w:t>поступивший из управления ЖКХ и ТЭК администрации Туапсинского муниципального округа установил:</w:t>
      </w:r>
    </w:p>
    <w:p w14:paraId="0C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D000000">
      <w:pPr>
        <w:ind w:firstLine="567" w:left="0"/>
        <w:jc w:val="both"/>
      </w:pPr>
      <w:r>
        <w:t>федеральными законами от 6 октября 2003 г. № 131-ФЗ «Об общих принципах организации местного самоуправления в Российской Федерации», от 27 июля 2006 г. № 152-ФЗ «О персональных данных», постановлениями Правительства Российской Федерации от 21 июля 2008 г. № 549 «О порядке поставки газа для обеспечения коммунально-бытовых нужд граждан», от 13 сентября 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14:paraId="0E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0F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0000000">
      <w:pPr>
        <w:ind w:firstLine="567" w:left="0"/>
        <w:jc w:val="both"/>
      </w:pPr>
      <w:r>
        <w:t>4. Проект нормативного правового акта может быть рекомендован для официального принятия.</w:t>
      </w:r>
    </w:p>
    <w:p w14:paraId="11000000"/>
    <w:p w14:paraId="12000000"/>
    <w:p w14:paraId="13000000">
      <w:r>
        <w:t>Начальник</w:t>
      </w:r>
    </w:p>
    <w:p w14:paraId="14000000">
      <w:r>
        <w:t>правового управления администрации</w:t>
      </w:r>
    </w:p>
    <w:p w14:paraId="15000000">
      <w:r>
        <w:t>Туапсинского муниципального округа                                               М.А.</w:t>
      </w:r>
      <w:r>
        <w:t xml:space="preserve"> </w:t>
      </w:r>
      <w:r>
        <w:t>Синенко</w:t>
      </w:r>
    </w:p>
    <w:p w14:paraId="16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ConsPlusNormal"/>
    <w:link w:val="Style_10_ch"/>
    <w:pPr>
      <w:widowControl w:val="0"/>
      <w:spacing w:after="0" w:line="240" w:lineRule="auto"/>
      <w:ind/>
    </w:pPr>
    <w:rPr>
      <w:rFonts w:ascii="Calibri" w:hAnsi="Calibri"/>
    </w:rPr>
  </w:style>
  <w:style w:styleId="Style_10_ch" w:type="character">
    <w:name w:val="ConsPlusNormal"/>
    <w:link w:val="Style_10"/>
    <w:rPr>
      <w:rFonts w:ascii="Calibri" w:hAnsi="Calibri"/>
    </w:rPr>
  </w:style>
  <w:style w:styleId="Style_11" w:type="paragraph">
    <w:name w:val="Normal (Web)"/>
    <w:basedOn w:val="Style_2"/>
    <w:link w:val="Style_11_ch"/>
    <w:rPr>
      <w:sz w:val="24"/>
    </w:rPr>
  </w:style>
  <w:style w:styleId="Style_11_ch" w:type="character">
    <w:name w:val="Normal (Web)"/>
    <w:basedOn w:val="Style_2_ch"/>
    <w:link w:val="Style_11"/>
    <w:rPr>
      <w:sz w:val="24"/>
    </w:rPr>
  </w:style>
  <w:style w:styleId="Style_12" w:type="paragraph">
    <w:name w:val="toc 3"/>
    <w:next w:val="Style_2"/>
    <w:link w:val="Style_12_ch"/>
    <w:uiPriority w:val="39"/>
    <w:pPr>
      <w:ind w:firstLine="0" w:left="400"/>
      <w:jc w:val="left"/>
    </w:pPr>
    <w:rPr>
      <w:rFonts w:ascii="XO Thames" w:hAnsi="XO Thames"/>
      <w:sz w:val="28"/>
    </w:rPr>
  </w:style>
  <w:style w:styleId="Style_12_ch" w:type="character">
    <w:name w:val="toc 3"/>
    <w:link w:val="Style_12"/>
    <w:rPr>
      <w:rFonts w:ascii="XO Thames" w:hAnsi="XO Thames"/>
      <w:sz w:val="28"/>
    </w:rPr>
  </w:style>
  <w:style w:styleId="Style_13" w:type="paragraph">
    <w:name w:val="Strong"/>
    <w:link w:val="Style_13_ch"/>
    <w:rPr>
      <w:rFonts w:ascii="Times New Roman" w:hAnsi="Times New Roman"/>
      <w:b w:val="1"/>
    </w:rPr>
  </w:style>
  <w:style w:styleId="Style_13_ch" w:type="character">
    <w:name w:val="Strong"/>
    <w:link w:val="Style_13"/>
    <w:rPr>
      <w:rFonts w:ascii="Times New Roman" w:hAnsi="Times New Roman"/>
      <w:b w:val="1"/>
    </w:rPr>
  </w:style>
  <w:style w:styleId="Style_14" w:type="paragraph">
    <w:name w:val="heading 5"/>
    <w:next w:val="Style_2"/>
    <w:link w:val="Style_14_ch"/>
    <w:uiPriority w:val="9"/>
    <w:qFormat/>
    <w:pPr>
      <w:spacing w:after="120" w:before="120"/>
      <w:ind/>
      <w:jc w:val="both"/>
      <w:outlineLvl w:val="4"/>
    </w:pPr>
    <w:rPr>
      <w:rFonts w:ascii="XO Thames" w:hAnsi="XO Thames"/>
      <w:b w:val="1"/>
      <w:sz w:val="22"/>
    </w:rPr>
  </w:style>
  <w:style w:styleId="Style_14_ch" w:type="character">
    <w:name w:val="heading 5"/>
    <w:link w:val="Style_14"/>
    <w:rPr>
      <w:rFonts w:ascii="XO Thames" w:hAnsi="XO Thames"/>
      <w:b w:val="1"/>
      <w:sz w:val="22"/>
    </w:rPr>
  </w:style>
  <w:style w:styleId="Style_15" w:type="paragraph">
    <w:name w:val="heading 1"/>
    <w:next w:val="Style_2"/>
    <w:link w:val="Style_15_ch"/>
    <w:uiPriority w:val="9"/>
    <w:qFormat/>
    <w:pPr>
      <w:spacing w:after="120" w:before="120"/>
      <w:ind/>
      <w:jc w:val="both"/>
      <w:outlineLvl w:val="0"/>
    </w:pPr>
    <w:rPr>
      <w:rFonts w:ascii="XO Thames" w:hAnsi="XO Thames"/>
      <w:b w:val="1"/>
      <w:sz w:val="32"/>
    </w:rPr>
  </w:style>
  <w:style w:styleId="Style_15_ch" w:type="character">
    <w:name w:val="heading 1"/>
    <w:link w:val="Style_15"/>
    <w:rPr>
      <w:rFonts w:ascii="XO Thames" w:hAnsi="XO Thames"/>
      <w:b w:val="1"/>
      <w:sz w:val="32"/>
    </w:rPr>
  </w:style>
  <w:style w:styleId="Style_1" w:type="paragraph">
    <w:name w:val="Hyperlink"/>
    <w:basedOn w:val="Style_9"/>
    <w:link w:val="Style_1_ch"/>
    <w:rPr>
      <w:color w:val="0000FF"/>
      <w:u w:val="single"/>
    </w:rPr>
  </w:style>
  <w:style w:styleId="Style_1_ch" w:type="character">
    <w:name w:val="Hyperlink"/>
    <w:basedOn w:val="Style_9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2"/>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styleId="Style_26" w:type="paragraph">
    <w:name w:val="Balloon Text"/>
    <w:basedOn w:val="Style_2"/>
    <w:link w:val="Style_26_ch"/>
    <w:rPr>
      <w:rFonts w:ascii="Tahoma" w:hAnsi="Tahoma"/>
      <w:sz w:val="16"/>
    </w:rPr>
  </w:style>
  <w:style w:styleId="Style_26_ch" w:type="character">
    <w:name w:val="Balloon Text"/>
    <w:basedOn w:val="Style_2_ch"/>
    <w:link w:val="Style_26"/>
    <w:rPr>
      <w:rFonts w:ascii="Tahoma" w:hAnsi="Tahoma"/>
      <w:sz w:val="16"/>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2025-04-21T08:23:40Z</dcterms:modified>
</cp:coreProperties>
</file>