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экономики Краснодарского края</w:t>
      </w:r>
    </w:p>
    <w:p>
      <w:pPr>
        <w:pStyle w:val="Normal"/>
        <w:jc w:val="center"/>
        <w:rPr>
          <w:rFonts w:cs="Hermes"/>
          <w:color w:val="800000"/>
          <w:sz w:val="70"/>
          <w:szCs w:val="70"/>
        </w:rPr>
      </w:pPr>
      <w:r>
        <w:rPr/>
        <w:drawing>
          <wp:inline distT="0" distB="0" distL="0" distR="0">
            <wp:extent cx="1247775" cy="1533525"/>
            <wp:effectExtent l="0" t="0" r="0" b="0"/>
            <wp:docPr id="1" name="Рисунок 1" descr="герб_КК_цветной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КК_цветной-м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rFonts w:ascii="Arial" w:hAnsi="Arial" w:cs="Arial"/>
          <w:color w:val="C00000"/>
          <w:sz w:val="56"/>
          <w:szCs w:val="56"/>
        </w:rPr>
      </w:pPr>
      <w:r>
        <w:rPr>
          <w:rFonts w:cs="Arial" w:ascii="Arial" w:hAnsi="Arial"/>
          <w:color w:val="C00000"/>
          <w:sz w:val="56"/>
          <w:szCs w:val="56"/>
        </w:rPr>
      </w:r>
    </w:p>
    <w:p>
      <w:pPr>
        <w:pStyle w:val="Normal"/>
        <w:jc w:val="center"/>
        <w:rPr>
          <w:rFonts w:ascii="Arial" w:hAnsi="Arial" w:cs="Arial"/>
          <w:b/>
          <w:b/>
          <w:color w:val="C00000"/>
          <w:sz w:val="56"/>
          <w:szCs w:val="56"/>
        </w:rPr>
      </w:pPr>
      <w:r>
        <w:rPr>
          <w:rFonts w:cs="Arial" w:ascii="Arial" w:hAnsi="Arial"/>
          <w:b/>
          <w:color w:val="C00000"/>
          <w:sz w:val="56"/>
          <w:szCs w:val="56"/>
        </w:rPr>
        <w:t>«Льготная ипотека под 12% в новостройках»</w:t>
      </w:r>
    </w:p>
    <w:p>
      <w:pPr>
        <w:pStyle w:val="Normal"/>
        <w:jc w:val="center"/>
        <w:rPr>
          <w:rFonts w:ascii="Arial" w:hAnsi="Arial" w:eastAsia="Calibri" w:cs="Arial" w:eastAsiaTheme="minorHAnsi"/>
          <w:color w:val="943634" w:themeColor="accent2" w:themeShade="bf"/>
          <w:sz w:val="52"/>
          <w:szCs w:val="52"/>
          <w:lang w:eastAsia="en-US"/>
        </w:rPr>
      </w:pPr>
      <w:r>
        <w:rPr>
          <w:rFonts w:eastAsia="Calibri" w:cs="Arial" w:eastAsiaTheme="minorHAnsi" w:ascii="Arial" w:hAnsi="Arial"/>
          <w:color w:val="943634" w:themeColor="accent2" w:themeShade="bf"/>
          <w:sz w:val="52"/>
          <w:szCs w:val="52"/>
          <w:lang w:eastAsia="en-US"/>
        </w:rPr>
      </w:r>
    </w:p>
    <w:p>
      <w:pPr>
        <w:pStyle w:val="Normal"/>
        <w:jc w:val="center"/>
        <w:rPr>
          <w:rFonts w:ascii="Arial" w:hAnsi="Arial" w:eastAsia="Calibri" w:cs="Arial" w:eastAsiaTheme="minorHAnsi"/>
          <w:color w:val="C00000"/>
          <w:sz w:val="48"/>
          <w:szCs w:val="52"/>
          <w:lang w:eastAsia="en-US"/>
        </w:rPr>
      </w:pPr>
      <w:r>
        <w:rPr>
          <w:rFonts w:eastAsia="Calibri" w:cs="Arial" w:ascii="Arial" w:hAnsi="Arial" w:eastAsiaTheme="minorHAnsi"/>
          <w:color w:val="C00000"/>
          <w:sz w:val="48"/>
          <w:szCs w:val="52"/>
          <w:lang w:eastAsia="en-US"/>
        </w:rPr>
        <w:t>Приобретение жилья на первичном рынке по ставке 12% с государственной поддержкой</w:t>
      </w:r>
    </w:p>
    <w:p>
      <w:pPr>
        <w:pStyle w:val="Normal"/>
        <w:rPr>
          <w:rFonts w:ascii="Arial" w:hAnsi="Arial" w:eastAsia="Calibri" w:cs="Arial" w:eastAsiaTheme="minorHAnsi"/>
          <w:b/>
          <w:b/>
          <w:color w:val="C00000"/>
          <w:sz w:val="28"/>
          <w:szCs w:val="28"/>
          <w:lang w:eastAsia="en-US"/>
        </w:rPr>
      </w:pPr>
      <w:r>
        <w:rPr>
          <w:rFonts w:eastAsia="Calibri" w:cs="Arial" w:eastAsiaTheme="minorHAnsi" w:ascii="Arial" w:hAnsi="Arial"/>
          <w:b/>
          <w:color w:val="C00000"/>
          <w:sz w:val="28"/>
          <w:szCs w:val="28"/>
          <w:lang w:eastAsia="en-US"/>
        </w:rPr>
      </w:r>
    </w:p>
    <w:p>
      <w:pPr>
        <w:pStyle w:val="Normal"/>
        <w:rPr>
          <w:rFonts w:ascii="Arial" w:hAnsi="Arial" w:eastAsia="Calibri" w:cs="Arial" w:eastAsiaTheme="minorHAnsi"/>
          <w:b/>
          <w:b/>
          <w:color w:val="C00000"/>
          <w:sz w:val="28"/>
          <w:szCs w:val="28"/>
          <w:lang w:eastAsia="en-US"/>
        </w:rPr>
      </w:pPr>
      <w:r>
        <w:rPr>
          <w:rFonts w:eastAsia="Calibri" w:cs="Arial" w:eastAsiaTheme="minorHAnsi" w:ascii="Arial" w:hAnsi="Arial"/>
          <w:b/>
          <w:color w:val="C00000"/>
          <w:sz w:val="28"/>
          <w:szCs w:val="28"/>
          <w:lang w:eastAsia="en-US"/>
        </w:rPr>
      </w:r>
    </w:p>
    <w:p>
      <w:pPr>
        <w:pStyle w:val="Normal"/>
        <w:jc w:val="both"/>
        <w:rPr>
          <w:rFonts w:ascii="Arial" w:hAnsi="Arial" w:eastAsia="Calibri" w:cs="Arial" w:eastAsiaTheme="minorHAnsi"/>
          <w:b/>
          <w:b/>
          <w:color w:val="C00000"/>
          <w:sz w:val="32"/>
          <w:szCs w:val="28"/>
          <w:lang w:eastAsia="en-US"/>
        </w:rPr>
      </w:pPr>
      <w:r>
        <w:rPr>
          <w:rFonts w:eastAsia="Calibri" w:cs="Arial" w:ascii="Arial" w:hAnsi="Arial" w:eastAsiaTheme="minorHAnsi"/>
          <w:b/>
          <w:color w:val="C00000"/>
          <w:sz w:val="32"/>
          <w:szCs w:val="28"/>
          <w:lang w:eastAsia="en-US"/>
        </w:rPr>
        <w:t>Кто имеет право на участие в программе «Льготная ипотека под 12% в новостройках»:</w:t>
      </w:r>
    </w:p>
    <w:p>
      <w:pPr>
        <w:pStyle w:val="Normal"/>
        <w:ind w:firstLine="709"/>
        <w:jc w:val="both"/>
        <w:rPr>
          <w:color w:val="C00000"/>
          <w:sz w:val="27"/>
          <w:szCs w:val="27"/>
          <w:highlight w:val="white"/>
        </w:rPr>
      </w:pPr>
      <w:r>
        <w:rPr>
          <w:color w:val="C00000"/>
          <w:sz w:val="27"/>
          <w:szCs w:val="27"/>
          <w:shd w:fill="FFFFFF" w:val="clear"/>
        </w:rPr>
      </w:r>
    </w:p>
    <w:p>
      <w:pPr>
        <w:pStyle w:val="NoSpacing"/>
        <w:spacing w:lineRule="auto" w:line="27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доступна для всех граждан Российской Федерации.</w:t>
      </w:r>
    </w:p>
    <w:p>
      <w:pPr>
        <w:pStyle w:val="NoSpacing"/>
        <w:spacing w:lineRule="auto" w:line="27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не содержит требований к возрасту, семейному или имущественному положению участников программы (данные требования могут быть установлены кредиторами).</w:t>
      </w:r>
    </w:p>
    <w:p>
      <w:pPr>
        <w:pStyle w:val="Normal"/>
        <w:rPr>
          <w:rFonts w:ascii="Arial" w:hAnsi="Arial" w:eastAsia="Calibri" w:cs="Arial" w:eastAsiaTheme="minorHAnsi"/>
          <w:b/>
          <w:b/>
          <w:color w:val="943634" w:themeColor="accent2" w:themeShade="bf"/>
          <w:sz w:val="32"/>
          <w:szCs w:val="28"/>
          <w:lang w:eastAsia="en-US"/>
        </w:rPr>
      </w:pPr>
      <w:r>
        <w:rPr>
          <w:rFonts w:eastAsia="Calibri" w:cs="Arial" w:eastAsiaTheme="minorHAnsi" w:ascii="Arial" w:hAnsi="Arial"/>
          <w:b/>
          <w:color w:val="943634" w:themeColor="accent2" w:themeShade="bf"/>
          <w:sz w:val="32"/>
          <w:szCs w:val="28"/>
          <w:lang w:eastAsia="en-US"/>
        </w:rPr>
      </w:r>
    </w:p>
    <w:p>
      <w:pPr>
        <w:pStyle w:val="Normal"/>
        <w:rPr>
          <w:rFonts w:ascii="Arial" w:hAnsi="Arial" w:eastAsia="Calibri" w:cs="Arial" w:eastAsiaTheme="minorHAnsi"/>
          <w:b/>
          <w:b/>
          <w:color w:val="C00000"/>
          <w:sz w:val="32"/>
          <w:szCs w:val="28"/>
          <w:lang w:eastAsia="en-US"/>
        </w:rPr>
      </w:pPr>
      <w:r>
        <w:rPr>
          <w:rFonts w:eastAsia="Calibri" w:cs="Arial" w:ascii="Arial" w:hAnsi="Arial" w:eastAsiaTheme="minorHAnsi"/>
          <w:b/>
          <w:color w:val="C00000"/>
          <w:sz w:val="32"/>
          <w:szCs w:val="28"/>
          <w:lang w:eastAsia="en-US"/>
        </w:rPr>
        <w:t>Покупка жилого помещения:</w:t>
      </w:r>
    </w:p>
    <w:p>
      <w:pPr>
        <w:pStyle w:val="Normal"/>
        <w:rPr>
          <w:rFonts w:eastAsia="Calibri" w:eastAsiaTheme="minorHAnsi"/>
          <w:color w:val="943634" w:themeColor="accent2" w:themeShade="bf"/>
          <w:sz w:val="32"/>
          <w:szCs w:val="28"/>
          <w:lang w:eastAsia="en-US"/>
        </w:rPr>
      </w:pPr>
      <w:r>
        <w:rPr>
          <w:rFonts w:eastAsia="Calibri" w:eastAsiaTheme="minorHAnsi"/>
          <w:color w:val="943634" w:themeColor="accent2" w:themeShade="bf"/>
          <w:sz w:val="32"/>
          <w:szCs w:val="28"/>
          <w:lang w:eastAsia="en-US"/>
        </w:rPr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В рамках программы «Ипотека под 12%» возможно взять льготный ипотечный кредит (заем) на следующие цели: 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приобретение у юридических лиц (за исключением инвестиционных фондов, в том числе их управляющих компаний) жилых помещений, находящихся на этапе строительства,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закона             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 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для приобретения жилых помещений по договорам купли-продажи в многоквартирных домах и домах блокированной застройки.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В рамках программы возможно купить жилье в любом регионе России.</w:t>
      </w:r>
    </w:p>
    <w:p>
      <w:pPr>
        <w:pStyle w:val="Normal"/>
        <w:rPr>
          <w:rFonts w:ascii="Arial" w:hAnsi="Arial" w:eastAsia="Calibri" w:cs="Arial" w:eastAsiaTheme="minorHAnsi"/>
          <w:b/>
          <w:b/>
          <w:color w:val="C00000"/>
          <w:sz w:val="32"/>
          <w:szCs w:val="28"/>
          <w:lang w:eastAsia="en-US"/>
        </w:rPr>
      </w:pPr>
      <w:r>
        <w:rPr>
          <w:rFonts w:eastAsia="Calibri" w:cs="Arial" w:eastAsiaTheme="minorHAnsi" w:ascii="Arial" w:hAnsi="Arial"/>
          <w:b/>
          <w:color w:val="C00000"/>
          <w:sz w:val="32"/>
          <w:szCs w:val="28"/>
          <w:lang w:eastAsia="en-US"/>
        </w:rPr>
      </w:r>
    </w:p>
    <w:p>
      <w:pPr>
        <w:pStyle w:val="Normal"/>
        <w:rPr>
          <w:rFonts w:ascii="Arial" w:hAnsi="Arial" w:eastAsia="Calibri" w:cs="Arial" w:eastAsiaTheme="minorHAnsi"/>
          <w:b/>
          <w:b/>
          <w:color w:val="C00000"/>
          <w:sz w:val="32"/>
          <w:szCs w:val="28"/>
          <w:lang w:eastAsia="en-US"/>
        </w:rPr>
      </w:pPr>
      <w:r>
        <w:rPr>
          <w:rFonts w:eastAsia="Calibri" w:cs="Arial" w:ascii="Arial" w:hAnsi="Arial" w:eastAsiaTheme="minorHAnsi"/>
          <w:b/>
          <w:color w:val="C00000"/>
          <w:sz w:val="32"/>
          <w:szCs w:val="28"/>
          <w:lang w:eastAsia="en-US"/>
        </w:rPr>
        <w:t>Условия предоставления кредита</w:t>
      </w:r>
    </w:p>
    <w:p>
      <w:pPr>
        <w:pStyle w:val="Normal"/>
        <w:ind w:firstLine="709"/>
        <w:jc w:val="both"/>
        <w:rPr>
          <w:sz w:val="27"/>
          <w:szCs w:val="27"/>
          <w:highlight w:val="white"/>
        </w:rPr>
      </w:pPr>
      <w:r>
        <w:rPr>
          <w:sz w:val="27"/>
          <w:szCs w:val="27"/>
          <w:shd w:fill="FFFFFF" w:val="clear"/>
        </w:rPr>
      </w:r>
    </w:p>
    <w:p>
      <w:pPr>
        <w:pStyle w:val="Normal"/>
        <w:ind w:firstLine="709"/>
        <w:jc w:val="both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  <w:t>Ипотечный кредит:</w:t>
      </w:r>
    </w:p>
    <w:p>
      <w:pPr>
        <w:pStyle w:val="Normal"/>
        <w:spacing w:lineRule="auto" w:line="27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получен в любом российском банке - участнике программы «Льготная ипотека под 12% в новостройках» или в АО «ДОМ РФ» с</w:t>
      </w:r>
      <w:bookmarkStart w:id="0" w:name="_GoBack"/>
      <w:bookmarkEnd w:id="0"/>
      <w:r>
        <w:rPr>
          <w:sz w:val="28"/>
          <w:szCs w:val="28"/>
        </w:rPr>
        <w:t xml:space="preserve"> 1 апреля 2022 г. по 1 июля 2022 г. (включительно). </w:t>
      </w:r>
    </w:p>
    <w:p>
      <w:pPr>
        <w:pStyle w:val="Normal"/>
        <w:spacing w:lineRule="auto" w:line="276"/>
        <w:ind w:firstLine="426"/>
        <w:jc w:val="both"/>
        <w:rPr>
          <w:rFonts w:ascii="Arial" w:hAnsi="Arial" w:cs="Arial"/>
          <w:b/>
          <w:b/>
          <w:color w:val="C00000"/>
          <w:sz w:val="28"/>
          <w:szCs w:val="27"/>
          <w:highlight w:val="white"/>
        </w:rPr>
      </w:pPr>
      <w:r>
        <w:rPr>
          <w:sz w:val="28"/>
          <w:szCs w:val="28"/>
        </w:rPr>
        <w:tab/>
        <w:t xml:space="preserve"> </w:t>
      </w:r>
    </w:p>
    <w:p>
      <w:pPr>
        <w:pStyle w:val="Normal"/>
        <w:spacing w:lineRule="auto" w:line="276"/>
        <w:ind w:firstLine="709"/>
        <w:jc w:val="both"/>
        <w:rPr>
          <w:rFonts w:ascii="Arial" w:hAnsi="Arial" w:cs="Arial"/>
          <w:b/>
          <w:b/>
          <w:color w:val="C00000"/>
          <w:sz w:val="28"/>
          <w:szCs w:val="27"/>
          <w:highlight w:val="white"/>
        </w:rPr>
      </w:pPr>
      <w:r>
        <w:rPr>
          <w:rFonts w:cs="Arial" w:ascii="Arial" w:hAnsi="Arial"/>
          <w:b/>
          <w:color w:val="C00000"/>
          <w:sz w:val="28"/>
          <w:szCs w:val="27"/>
          <w:shd w:fill="FFFFFF" w:val="clear"/>
        </w:rPr>
        <w:t>Сумма ипотечного кредита при покупке недвижимости: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  <w:highlight w:val="white"/>
        </w:rPr>
      </w:pPr>
      <w:r>
        <w:rPr>
          <w:sz w:val="27"/>
          <w:szCs w:val="27"/>
          <w:shd w:fill="FFFFFF" w:val="clear"/>
        </w:rPr>
        <w:t>Размер кредита (займа) по кредитным договорам не превышает 6 млн рублей (включительно).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  <w:highlight w:val="white"/>
        </w:rPr>
      </w:pPr>
      <w:r>
        <w:rPr>
          <w:sz w:val="27"/>
          <w:szCs w:val="27"/>
          <w:shd w:fill="FFFFFF" w:val="clear"/>
        </w:rPr>
      </w:r>
    </w:p>
    <w:p>
      <w:pPr>
        <w:pStyle w:val="Normal"/>
        <w:spacing w:lineRule="auto" w:line="276"/>
        <w:ind w:firstLine="709"/>
        <w:jc w:val="both"/>
        <w:rPr>
          <w:rFonts w:ascii="Arial" w:hAnsi="Arial" w:cs="Arial"/>
          <w:b/>
          <w:b/>
          <w:color w:val="C00000"/>
          <w:sz w:val="28"/>
          <w:szCs w:val="27"/>
          <w:highlight w:val="white"/>
        </w:rPr>
      </w:pPr>
      <w:r>
        <w:rPr>
          <w:rFonts w:cs="Arial" w:ascii="Arial" w:hAnsi="Arial"/>
          <w:b/>
          <w:color w:val="C00000"/>
          <w:sz w:val="28"/>
          <w:szCs w:val="27"/>
          <w:shd w:fill="FFFFFF" w:val="clear"/>
        </w:rPr>
        <w:t>Первоначальный взнос: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  <w:highlight w:val="white"/>
        </w:rPr>
      </w:pPr>
      <w:r>
        <w:rPr>
          <w:sz w:val="27"/>
          <w:szCs w:val="27"/>
          <w:shd w:fill="FFFFFF" w:val="clear"/>
        </w:rPr>
        <w:t>от 15% стоимости квартиры.</w:t>
      </w:r>
    </w:p>
    <w:p>
      <w:pPr>
        <w:pStyle w:val="Normal"/>
        <w:ind w:firstLine="709"/>
        <w:jc w:val="both"/>
        <w:rPr>
          <w:sz w:val="27"/>
          <w:szCs w:val="27"/>
          <w:highlight w:val="white"/>
        </w:rPr>
      </w:pPr>
      <w:r>
        <w:rPr>
          <w:sz w:val="27"/>
          <w:szCs w:val="27"/>
          <w:shd w:fill="FFFFFF" w:val="clear"/>
        </w:rPr>
        <w:t>На эти цели разрешается направить средства из федерального или регионального бюджета, то есть можно использовать материнский (семейный) капитал и другие субсидии.</w:t>
      </w:r>
    </w:p>
    <w:p>
      <w:pPr>
        <w:pStyle w:val="Normal"/>
        <w:ind w:firstLine="709"/>
        <w:jc w:val="both"/>
        <w:rPr>
          <w:rFonts w:ascii="Arial" w:hAnsi="Arial" w:cs="Arial"/>
          <w:b/>
          <w:b/>
          <w:color w:val="943634" w:themeColor="accent2" w:themeShade="bf"/>
          <w:sz w:val="27"/>
          <w:szCs w:val="27"/>
          <w:highlight w:val="white"/>
        </w:rPr>
      </w:pPr>
      <w:r>
        <w:rPr>
          <w:rFonts w:cs="Arial" w:ascii="Arial" w:hAnsi="Arial"/>
          <w:b/>
          <w:color w:val="943634" w:themeColor="accent2" w:themeShade="bf"/>
          <w:sz w:val="27"/>
          <w:szCs w:val="27"/>
          <w:shd w:fill="FFFFFF" w:val="clear"/>
        </w:rPr>
      </w:r>
    </w:p>
    <w:p>
      <w:pPr>
        <w:pStyle w:val="NoSpacing"/>
        <w:spacing w:lineRule="auto" w:line="276"/>
        <w:ind w:firstLine="360"/>
        <w:jc w:val="both"/>
        <w:rPr>
          <w:rFonts w:ascii="Arial" w:hAnsi="Arial" w:cs="Arial"/>
          <w:b/>
          <w:b/>
          <w:color w:val="C00000"/>
          <w:sz w:val="28"/>
          <w:szCs w:val="24"/>
        </w:rPr>
      </w:pPr>
      <w:r>
        <w:rPr>
          <w:rFonts w:cs="Arial" w:ascii="Arial" w:hAnsi="Arial"/>
          <w:b/>
          <w:color w:val="C00000"/>
          <w:sz w:val="28"/>
          <w:szCs w:val="24"/>
        </w:rPr>
        <w:t>Перечень банков-участников программы:</w:t>
      </w:r>
    </w:p>
    <w:p>
      <w:pPr>
        <w:pStyle w:val="NoSpacing"/>
        <w:spacing w:lineRule="auto" w:line="276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70 банков-участников, 26 из которых работают на территории Краснодарского края:</w:t>
      </w:r>
    </w:p>
    <w:p>
      <w:pPr>
        <w:pStyle w:val="NoSpacing"/>
        <w:spacing w:lineRule="auto" w:line="276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tbl>
      <w:tblPr>
        <w:tblW w:w="10617" w:type="dxa"/>
        <w:jc w:val="lef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noVBand="1" w:noHBand="0" w:lastColumn="0" w:firstColumn="1" w:lastRow="0" w:firstRow="1"/>
      </w:tblPr>
      <w:tblGrid>
        <w:gridCol w:w="5371"/>
        <w:gridCol w:w="5245"/>
      </w:tblGrid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FF0000"/>
              </w:rPr>
            </w:pPr>
            <w:r>
              <w:rPr/>
              <w:t>ПАО Сбербанк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FF0000"/>
              </w:rPr>
            </w:pPr>
            <w:r>
              <w:rPr/>
              <w:t>ПАО "ТРАНСКАПИТАЛБАНК"</w:t>
            </w:r>
          </w:p>
        </w:tc>
      </w:tr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FF0000"/>
              </w:rPr>
            </w:pPr>
            <w:r>
              <w:rPr/>
              <w:t>Банк ВТБ (ПАО)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FF0000"/>
              </w:rPr>
            </w:pPr>
            <w:r>
              <w:rPr/>
              <w:t>АКБ "АК БАРС" (ПАО)</w:t>
            </w:r>
          </w:p>
        </w:tc>
      </w:tr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/>
            </w:pPr>
            <w:r>
              <w:rPr/>
              <w:t>АКБ "Абсолют Банк" (ПАО)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FF0000"/>
              </w:rPr>
            </w:pPr>
            <w:r>
              <w:rPr/>
              <w:t>ПАО "БАНК УРАЛСИБ"</w:t>
            </w:r>
          </w:p>
        </w:tc>
      </w:tr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FF0000"/>
                <w:lang w:val="en-US"/>
              </w:rPr>
            </w:pPr>
            <w:r>
              <w:rPr/>
              <w:t>АО "Банк ДОМ.РФ''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FF0000"/>
              </w:rPr>
            </w:pPr>
            <w:r>
              <w:rPr/>
              <w:t>ПАО КБ "Центр-инвест"</w:t>
            </w:r>
          </w:p>
        </w:tc>
      </w:tr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FF0000"/>
              </w:rPr>
            </w:pPr>
            <w:r>
              <w:rPr/>
              <w:t>"Газпромбанк" (Акционерное общество)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FF0000"/>
              </w:rPr>
            </w:pPr>
            <w:r>
              <w:rPr/>
              <w:t>АО "ЮниКредит Банк"</w:t>
            </w:r>
          </w:p>
        </w:tc>
      </w:tr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FF0000"/>
              </w:rPr>
            </w:pPr>
            <w:r>
              <w:rPr/>
              <w:t>АО "Российский Сельскохозяйственный банк"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FF0000"/>
              </w:rPr>
            </w:pPr>
            <w:r>
              <w:rPr/>
              <w:t>КБ "Кубань Кредит" ООО</w:t>
            </w:r>
          </w:p>
        </w:tc>
      </w:tr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FF0000"/>
              </w:rPr>
            </w:pPr>
            <w:r>
              <w:rPr/>
              <w:t>ПАО "Промсвязьбанк"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FF0000"/>
              </w:rPr>
            </w:pPr>
            <w:r>
              <w:rPr/>
              <w:t>ПАО "Совкомбанк"</w:t>
            </w:r>
          </w:p>
        </w:tc>
      </w:tr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FF0000"/>
              </w:rPr>
            </w:pPr>
            <w:r>
              <w:rPr/>
              <w:t>ПАО Банк "Финансовая Корпорация Открытие"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FF0000"/>
              </w:rPr>
            </w:pPr>
            <w:r>
              <w:rPr/>
              <w:t>АО Банк "Северный морской путь"</w:t>
            </w:r>
          </w:p>
        </w:tc>
      </w:tr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FF0000"/>
              </w:rPr>
            </w:pPr>
            <w:r>
              <w:rPr/>
              <w:t xml:space="preserve">ПАО РОСБАНК 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FF0000"/>
              </w:rPr>
            </w:pPr>
            <w:r>
              <w:rPr/>
              <w:t>Банк ЗЕНИТ (ПАО)</w:t>
            </w:r>
          </w:p>
        </w:tc>
      </w:tr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FF0000"/>
              </w:rPr>
            </w:pPr>
            <w:r>
              <w:rPr/>
              <w:t>АО "Райффайзенбанк"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FF0000"/>
              </w:rPr>
            </w:pPr>
            <w:r>
              <w:rPr/>
              <w:t>ПАО "Московский Индустриальный банк"</w:t>
            </w:r>
          </w:p>
        </w:tc>
      </w:tr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FF0000"/>
              </w:rPr>
            </w:pPr>
            <w:r>
              <w:rPr/>
              <w:t>ПАО Банк "Возрождение"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FF0000"/>
              </w:rPr>
            </w:pPr>
            <w:r>
              <w:rPr/>
              <w:t>АО "Всероссийский банк развития регионов"</w:t>
            </w:r>
          </w:p>
        </w:tc>
      </w:tr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FF0000"/>
              </w:rPr>
            </w:pPr>
            <w:r>
              <w:rPr/>
              <w:t>АО "Акционерный Банк "РОССИЯ"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FF0000"/>
              </w:rPr>
            </w:pPr>
            <w:r>
              <w:rPr/>
              <w:t>РНКБ (ПАО)</w:t>
            </w:r>
          </w:p>
        </w:tc>
      </w:tr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/>
            </w:pPr>
            <w:r>
              <w:rPr/>
              <w:t>АО «Альфа-Банк»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FF0000"/>
              </w:rPr>
            </w:pPr>
            <w:r>
              <w:rPr/>
              <w:t>ПАО КБ «УБРИР»</w:t>
            </w:r>
          </w:p>
        </w:tc>
      </w:tr>
    </w:tbl>
    <w:p>
      <w:pPr>
        <w:pStyle w:val="NoSpacing"/>
        <w:ind w:hanging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Более подробную информацию можно получить на сайте </w:t>
      </w:r>
    </w:p>
    <w:p>
      <w:pPr>
        <w:pStyle w:val="NoSpacing"/>
        <w:ind w:hanging="0"/>
        <w:jc w:val="left"/>
        <w:rPr/>
      </w:pPr>
      <w:hyperlink r:id="rId3">
        <w:r>
          <w:rPr>
            <w:rStyle w:val="Style18"/>
            <w:rFonts w:ascii="Times New Roman" w:hAnsi="Times New Roman"/>
            <w:sz w:val="28"/>
            <w:szCs w:val="28"/>
          </w:rPr>
          <w:t>https://</w:t>
        </w:r>
        <w:r>
          <w:rPr>
            <w:rStyle w:val="Style18"/>
            <w:rFonts w:ascii="Times New Roman" w:hAnsi="Times New Roman"/>
            <w:color w:val="0000FF" w:themeColor="hyperlink"/>
            <w:sz w:val="28"/>
            <w:szCs w:val="28"/>
            <w:u w:val="single"/>
          </w:rPr>
          <w:t>с</w:t>
        </w:r>
        <w:r>
          <w:rPr>
            <w:rStyle w:val="Style18"/>
            <w:rFonts w:ascii="Times New Roman" w:hAnsi="Times New Roman"/>
            <w:color w:val="0000FF" w:themeColor="hyperlink"/>
            <w:sz w:val="28"/>
            <w:szCs w:val="28"/>
            <w:u w:val="single"/>
          </w:rPr>
          <w:t>проси.дом.рф/catalog</w:t>
        </w:r>
        <w:r>
          <w:rPr>
            <w:rStyle w:val="Style18"/>
            <w:rFonts w:ascii="Times New Roman" w:hAnsi="Times New Roman"/>
            <w:sz w:val="28"/>
            <w:szCs w:val="28"/>
          </w:rPr>
          <w:t>/gosudarstvennye-programmy/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Spacing"/>
        <w:ind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C1B28"/>
          <w:spacing w:val="0"/>
          <w:sz w:val="28"/>
          <w:szCs w:val="28"/>
        </w:rPr>
        <w:t>Меры господдержки</w:t>
      </w:r>
    </w:p>
    <w:p>
      <w:pPr>
        <w:pStyle w:val="Style20"/>
        <w:widowControl/>
        <w:pBdr/>
        <w:spacing w:lineRule="auto" w:line="48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C1B28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C1B28"/>
          <w:sz w:val="28"/>
          <w:szCs w:val="28"/>
        </w:rPr>
        <w:t>Получите помощь от государства при покупке жилья и улучшении жилищных условий</w:t>
      </w:r>
    </w:p>
    <w:sectPr>
      <w:headerReference w:type="default" r:id="rId4"/>
      <w:type w:val="nextPage"/>
      <w:pgSz w:w="11906" w:h="16838"/>
      <w:pgMar w:left="709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3a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5">
    <w:name w:val="Heading 5"/>
    <w:basedOn w:val="Normal"/>
    <w:link w:val="50"/>
    <w:uiPriority w:val="9"/>
    <w:qFormat/>
    <w:rsid w:val="00f9658d"/>
    <w:pPr>
      <w:spacing w:beforeAutospacing="1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0f7c46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8a4926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8a4926"/>
    <w:rPr/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ec7318"/>
    <w:rPr>
      <w:rFonts w:ascii="Tahoma" w:hAnsi="Tahoma" w:cs="Tahoma"/>
      <w:sz w:val="16"/>
      <w:szCs w:val="16"/>
    </w:rPr>
  </w:style>
  <w:style w:type="character" w:styleId="Style17" w:customStyle="1">
    <w:name w:val="Основной текст Знак"/>
    <w:basedOn w:val="DefaultParagraphFont"/>
    <w:link w:val="ab"/>
    <w:uiPriority w:val="99"/>
    <w:semiHidden/>
    <w:qFormat/>
    <w:rsid w:val="00dc4685"/>
    <w:rPr/>
  </w:style>
  <w:style w:type="character" w:styleId="Strong">
    <w:name w:val="Strong"/>
    <w:qFormat/>
    <w:rsid w:val="00a60834"/>
    <w:rPr>
      <w:b/>
      <w:bCs/>
    </w:rPr>
  </w:style>
  <w:style w:type="character" w:styleId="3" w:customStyle="1">
    <w:name w:val="Основной текст 3 Знак"/>
    <w:basedOn w:val="DefaultParagraphFont"/>
    <w:link w:val="3"/>
    <w:uiPriority w:val="99"/>
    <w:qFormat/>
    <w:rsid w:val="003c4e06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f9658d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0">
    <w:name w:val="Body Text"/>
    <w:basedOn w:val="Normal"/>
    <w:link w:val="ac"/>
    <w:uiPriority w:val="99"/>
    <w:semiHidden/>
    <w:unhideWhenUsed/>
    <w:rsid w:val="00dc4685"/>
    <w:pPr>
      <w:spacing w:lineRule="auto" w:line="276" w:before="0" w:after="12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Title" w:customStyle="1">
    <w:name w:val="ConsPlusTitle"/>
    <w:uiPriority w:val="99"/>
    <w:qFormat/>
    <w:rsid w:val="00401b52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b/>
      <w:bCs/>
      <w:color w:val="auto"/>
      <w:kern w:val="0"/>
      <w:sz w:val="24"/>
      <w:szCs w:val="22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8d5933"/>
    <w:pPr>
      <w:spacing w:before="0" w:after="150"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uiPriority w:val="99"/>
    <w:unhideWhenUsed/>
    <w:rsid w:val="008a4926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6">
    <w:name w:val="Footer"/>
    <w:basedOn w:val="Normal"/>
    <w:link w:val="a8"/>
    <w:uiPriority w:val="99"/>
    <w:unhideWhenUsed/>
    <w:rsid w:val="008a492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ec7318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5e2ef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paragraph" w:styleId="Style27" w:customStyle="1">
    <w:name w:val="Заголовок_письма"/>
    <w:basedOn w:val="Normal"/>
    <w:autoRedefine/>
    <w:qFormat/>
    <w:rsid w:val="0066276e"/>
    <w:pPr>
      <w:jc w:val="center"/>
    </w:pPr>
    <w:rPr>
      <w:rFonts w:eastAsia="Calibri" w:cs="Times"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3c4e0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odyText3">
    <w:name w:val="Body Text 3"/>
    <w:basedOn w:val="Normal"/>
    <w:link w:val="30"/>
    <w:uiPriority w:val="99"/>
    <w:unhideWhenUsed/>
    <w:qFormat/>
    <w:rsid w:val="003c4e06"/>
    <w:pPr>
      <w:spacing w:before="0" w:after="120"/>
    </w:pPr>
    <w:rPr>
      <w:sz w:val="16"/>
      <w:szCs w:val="16"/>
    </w:rPr>
  </w:style>
  <w:style w:type="paragraph" w:styleId="Style110" w:customStyle="1">
    <w:name w:val="Style1"/>
    <w:basedOn w:val="Normal"/>
    <w:uiPriority w:val="99"/>
    <w:qFormat/>
    <w:rsid w:val="003c4e06"/>
    <w:pPr>
      <w:widowControl w:val="false"/>
      <w:spacing w:lineRule="exact" w:line="322"/>
    </w:pPr>
    <w:rPr/>
  </w:style>
  <w:style w:type="paragraph" w:styleId="ListParagraph">
    <w:name w:val="List Paragraph"/>
    <w:basedOn w:val="Normal"/>
    <w:uiPriority w:val="34"/>
    <w:qFormat/>
    <w:rsid w:val="00b9262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3c4e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xn--h1alcedd.xn--d1aqf.xn--p1ai/gosudarstvennye-programmy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F38D8-010C-4C4F-B68A-CC51B98D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LibreOffice/6.3.0.4$Linux_X86_64 LibreOffice_project/057fc023c990d676a43019934386b85b21a9ee99</Application>
  <Pages>2</Pages>
  <Words>368</Words>
  <Characters>2470</Characters>
  <CharactersWithSpaces>2813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2022-04-12T06:30:00Z</dcterms:created>
  <dc:creator>Савинкина Ирина Владимировна</dc:creator>
  <dc:description/>
  <dc:language>ru-RU</dc:language>
  <cp:lastModifiedBy/>
  <cp:lastPrinted>2020-07-03T08:51:00Z</cp:lastPrinted>
  <dcterms:modified xsi:type="dcterms:W3CDTF">2022-04-19T16:11:40Z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