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по физической культуре и спорту администрации Туапсинского муниципального округа</w:t>
      </w:r>
    </w:p>
    <w:p w14:paraId="02000000">
      <w:pPr>
        <w:ind w:firstLine="0" w:left="4961"/>
      </w:pPr>
    </w:p>
    <w:p w14:paraId="03000000">
      <w:pPr>
        <w:ind w:firstLine="0" w:left="4961"/>
      </w:pPr>
      <w:r>
        <w:t>Ергину Т.В.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r>
        <w:rPr>
          <w:b w:val="1"/>
        </w:rPr>
        <w:t>Заключение</w:t>
      </w:r>
    </w:p>
    <w:p w14:paraId="09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w:t>
      </w:r>
      <w:r>
        <w:rPr>
          <w:b w:val="0"/>
          <w:sz w:val="28"/>
        </w:rPr>
        <w:t>б</w:t>
      </w:r>
      <w:r>
        <w:rPr>
          <w:b w:val="0"/>
          <w:sz w:val="28"/>
        </w:rPr>
        <w:t xml:space="preserve"> утверждении Порядка </w:t>
      </w:r>
    </w:p>
    <w:p w14:paraId="0A000000">
      <w:pPr>
        <w:ind/>
        <w:jc w:val="center"/>
        <w:rPr>
          <w:b w:val="0"/>
        </w:rPr>
      </w:pPr>
      <w:r>
        <w:rPr>
          <w:b w:val="0"/>
          <w:sz w:val="28"/>
        </w:rPr>
        <w:t xml:space="preserve">определения объема и </w:t>
      </w:r>
      <w:r>
        <w:rPr>
          <w:b w:val="0"/>
          <w:sz w:val="28"/>
        </w:rPr>
        <w:t xml:space="preserve">предоставления субсидий муниципальным </w:t>
      </w:r>
    </w:p>
    <w:p w14:paraId="0B000000">
      <w:pPr>
        <w:ind/>
        <w:jc w:val="center"/>
        <w:rPr>
          <w:b w:val="0"/>
        </w:rPr>
      </w:pPr>
      <w:r>
        <w:rPr>
          <w:b w:val="0"/>
          <w:sz w:val="28"/>
        </w:rPr>
        <w:t xml:space="preserve">бюджетным </w:t>
      </w:r>
      <w:r>
        <w:rPr>
          <w:b w:val="0"/>
          <w:sz w:val="28"/>
        </w:rPr>
        <w:t xml:space="preserve">учреждениям, подведомственным </w:t>
      </w:r>
      <w:r>
        <w:rPr>
          <w:b w:val="0"/>
          <w:sz w:val="28"/>
        </w:rPr>
        <w:t xml:space="preserve">управлению по физической культуре и спорту </w:t>
      </w:r>
      <w:r>
        <w:rPr>
          <w:b w:val="0"/>
          <w:sz w:val="28"/>
        </w:rPr>
        <w:t>администрации Туапсинского</w:t>
      </w:r>
      <w:r>
        <w:rPr>
          <w:b w:val="0"/>
        </w:rPr>
        <w:t xml:space="preserve"> </w:t>
      </w:r>
      <w:r>
        <w:rPr>
          <w:b w:val="0"/>
          <w:sz w:val="28"/>
        </w:rPr>
        <w:t>муниципального</w:t>
      </w:r>
      <w:r>
        <w:rPr>
          <w:b w:val="0"/>
        </w:rPr>
        <w:t xml:space="preserve"> </w:t>
      </w:r>
      <w:r>
        <w:rPr>
          <w:b w:val="0"/>
          <w:sz w:val="28"/>
        </w:rPr>
        <w:t>округа</w:t>
      </w:r>
      <w:r>
        <w:rPr>
          <w:b w:val="0"/>
        </w:rPr>
        <w:t xml:space="preserve"> </w:t>
      </w:r>
    </w:p>
    <w:p w14:paraId="0C000000">
      <w:pPr>
        <w:widowControl w:val="0"/>
        <w:ind/>
        <w:jc w:val="center"/>
        <w:rPr>
          <w:b w:val="0"/>
          <w:sz w:val="28"/>
        </w:rPr>
      </w:pPr>
      <w:r>
        <w:rPr>
          <w:b w:val="0"/>
          <w:sz w:val="28"/>
        </w:rPr>
        <w:t>на</w:t>
      </w:r>
      <w:r>
        <w:rPr>
          <w:b w:val="0"/>
        </w:rPr>
        <w:t xml:space="preserve"> </w:t>
      </w:r>
      <w:r>
        <w:rPr>
          <w:b w:val="0"/>
          <w:sz w:val="28"/>
        </w:rPr>
        <w:t>иные цели, не связанные с возмещением нормативных</w:t>
      </w:r>
    </w:p>
    <w:p w14:paraId="0D000000">
      <w:pPr>
        <w:widowControl w:val="0"/>
        <w:ind/>
        <w:jc w:val="center"/>
        <w:rPr>
          <w:b w:val="1"/>
          <w:sz w:val="28"/>
        </w:rPr>
      </w:pPr>
      <w:r>
        <w:rPr>
          <w:b w:val="0"/>
          <w:sz w:val="28"/>
        </w:rPr>
        <w:t>затрат на выполнение муниципального задания»</w:t>
      </w:r>
    </w:p>
    <w:p w14:paraId="0E000000">
      <w:pPr>
        <w:widowControl w:val="0"/>
        <w:ind/>
        <w:jc w:val="both"/>
        <w:rPr>
          <w:sz w:val="28"/>
        </w:rPr>
      </w:pPr>
    </w:p>
    <w:p w14:paraId="0F000000">
      <w:pPr>
        <w:widowControl w:val="0"/>
        <w:ind/>
        <w:jc w:val="both"/>
        <w:rPr>
          <w:sz w:val="28"/>
        </w:rPr>
      </w:pPr>
    </w:p>
    <w:p w14:paraId="10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w:t>
      </w:r>
      <w:r>
        <w:rPr>
          <w:b w:val="0"/>
          <w:sz w:val="28"/>
        </w:rPr>
        <w:t>б</w:t>
      </w:r>
      <w:r>
        <w:rPr>
          <w:b w:val="0"/>
          <w:sz w:val="28"/>
        </w:rPr>
        <w:t xml:space="preserve"> утверждении Порядка определения объема и </w:t>
      </w:r>
      <w:r>
        <w:rPr>
          <w:b w:val="0"/>
          <w:sz w:val="28"/>
        </w:rPr>
        <w:t xml:space="preserve">предоставления субсидий муниципальным бюджетным </w:t>
      </w:r>
      <w:r>
        <w:rPr>
          <w:b w:val="0"/>
          <w:sz w:val="28"/>
        </w:rPr>
        <w:t xml:space="preserve">учреждениям, подведомственным </w:t>
      </w:r>
      <w:r>
        <w:rPr>
          <w:b w:val="0"/>
          <w:sz w:val="28"/>
        </w:rPr>
        <w:t xml:space="preserve">управлению по физической культуре и спорту </w:t>
      </w:r>
      <w:r>
        <w:rPr>
          <w:b w:val="0"/>
          <w:sz w:val="28"/>
        </w:rPr>
        <w:t>администрации Туапсинского</w:t>
      </w:r>
      <w:r>
        <w:rPr>
          <w:b w:val="0"/>
        </w:rPr>
        <w:t xml:space="preserve"> </w:t>
      </w:r>
      <w:r>
        <w:rPr>
          <w:b w:val="0"/>
          <w:sz w:val="28"/>
        </w:rPr>
        <w:t>муниципального</w:t>
      </w:r>
      <w:r>
        <w:rPr>
          <w:b w:val="0"/>
        </w:rPr>
        <w:t xml:space="preserve"> </w:t>
      </w:r>
      <w:r>
        <w:rPr>
          <w:b w:val="0"/>
          <w:sz w:val="28"/>
        </w:rPr>
        <w:t>округа</w:t>
      </w:r>
      <w:r>
        <w:rPr>
          <w:b w:val="0"/>
        </w:rPr>
        <w:t xml:space="preserve"> </w:t>
      </w:r>
      <w:r>
        <w:rPr>
          <w:b w:val="0"/>
          <w:sz w:val="28"/>
        </w:rPr>
        <w:t>на</w:t>
      </w:r>
      <w:r>
        <w:rPr>
          <w:b w:val="0"/>
        </w:rPr>
        <w:t xml:space="preserve"> </w:t>
      </w:r>
      <w:r>
        <w:rPr>
          <w:b w:val="0"/>
          <w:sz w:val="28"/>
        </w:rPr>
        <w:t xml:space="preserve">иные цели, не связанные с возмещением нормативных </w:t>
      </w:r>
      <w:r>
        <w:rPr>
          <w:b w:val="0"/>
          <w:sz w:val="28"/>
        </w:rPr>
        <w:t>затрат на выполнение муниципального задания</w:t>
      </w:r>
      <w:r>
        <w:t>»</w:t>
      </w:r>
      <w:bookmarkStart w:id="1" w:name="_GoBack"/>
      <w:bookmarkEnd w:id="1"/>
      <w:r>
        <w:rPr>
          <w:b w:val="1"/>
        </w:rPr>
        <w:t xml:space="preserve">, </w:t>
      </w:r>
      <w:r>
        <w:t>поступивший из  управления по физической культуре и спорту администрации Туапсинского муниципального округа установил:</w:t>
      </w:r>
    </w:p>
    <w:p w14:paraId="11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2000000">
      <w:pPr>
        <w:ind w:firstLine="567" w:left="0"/>
        <w:jc w:val="both"/>
      </w:pPr>
      <w:r>
        <w:rPr>
          <w:rStyle w:val="Style_1_ch"/>
          <w:color w:val="000000"/>
          <w:sz w:val="28"/>
          <w:u w:val="none"/>
        </w:rPr>
        <w:fldChar w:fldCharType="begin"/>
      </w:r>
      <w:r>
        <w:rPr>
          <w:rStyle w:val="Style_1_ch"/>
          <w:color w:val="000000"/>
          <w:sz w:val="28"/>
          <w:u w:val="none"/>
        </w:rPr>
        <w:instrText>HYPERLINK "https://login.consultant.ru/link/?req=doc&amp;base=LAW&amp;n=465808&amp;dst=103134"</w:instrText>
      </w:r>
      <w:r>
        <w:rPr>
          <w:rStyle w:val="Style_1_ch"/>
          <w:color w:val="000000"/>
          <w:sz w:val="28"/>
          <w:u w:val="none"/>
        </w:rPr>
        <w:fldChar w:fldCharType="separate"/>
      </w:r>
      <w:r>
        <w:rPr>
          <w:rStyle w:val="Style_1_ch"/>
          <w:color w:val="000000"/>
          <w:sz w:val="28"/>
          <w:u w:val="none"/>
        </w:rPr>
        <w:t xml:space="preserve">абзацами </w:t>
      </w:r>
      <w:r>
        <w:rPr>
          <w:rStyle w:val="Style_1_ch"/>
          <w:color w:val="000000"/>
          <w:sz w:val="28"/>
          <w:u w:val="none"/>
        </w:rPr>
        <w:fldChar w:fldCharType="end"/>
      </w:r>
      <w:r>
        <w:rPr>
          <w:rStyle w:val="Style_1_ch"/>
          <w:color w:val="000000"/>
          <w:sz w:val="28"/>
          <w:u w:val="none"/>
        </w:rPr>
        <w:fldChar w:fldCharType="begin"/>
      </w:r>
      <w:r>
        <w:rPr>
          <w:rStyle w:val="Style_1_ch"/>
          <w:color w:val="000000"/>
          <w:sz w:val="28"/>
          <w:u w:val="none"/>
        </w:rPr>
        <w:instrText>HYPERLINK "https://login.consultant.ru/link/?req=doc&amp;base=LAW&amp;n=465808&amp;dst=103407"</w:instrText>
      </w:r>
      <w:r>
        <w:rPr>
          <w:rStyle w:val="Style_1_ch"/>
          <w:color w:val="000000"/>
          <w:sz w:val="28"/>
          <w:u w:val="none"/>
        </w:rPr>
        <w:fldChar w:fldCharType="separate"/>
      </w:r>
      <w:r>
        <w:rPr>
          <w:rStyle w:val="Style_1_ch"/>
          <w:color w:val="000000"/>
          <w:sz w:val="28"/>
          <w:u w:val="none"/>
        </w:rPr>
        <w:t>вторым и четвертым пункта 1 статьи 78.1</w:t>
      </w:r>
      <w:r>
        <w:rPr>
          <w:rStyle w:val="Style_1_ch"/>
          <w:color w:val="000000"/>
          <w:sz w:val="28"/>
          <w:u w:val="none"/>
        </w:rPr>
        <w:fldChar w:fldCharType="end"/>
      </w:r>
      <w:r>
        <w:rPr>
          <w:sz w:val="28"/>
        </w:rPr>
        <w:t xml:space="preserve"> Бюджетного кодекса Российской Федерации, федеральными законами  от 6 октября 2003 г. № 131-ФЗ «Об общих принципах организации местного самоуправления в Российской Федерации», от 12 января 1996 г. № 7-ФЗ «О некоммерческих организациях», от 4 декабря 2007 г. № 329-ФЗ «О физической культуре и спорте в Российской Федерации»,</w:t>
      </w:r>
      <w:r>
        <w:rPr>
          <w:sz w:val="28"/>
        </w:rPr>
        <w:t xml:space="preserve"> постановлением Правительства Российской Федерации от 22 февраля 2020 г.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Pr>
          <w:sz w:val="28"/>
        </w:rPr>
        <w:t xml:space="preserve"> Устава Туапсинск</w:t>
      </w:r>
      <w:r>
        <w:rPr>
          <w:sz w:val="28"/>
        </w:rPr>
        <w:t>ого</w:t>
      </w:r>
      <w:r>
        <w:rPr>
          <w:sz w:val="28"/>
        </w:rPr>
        <w:t xml:space="preserve"> муниципального </w:t>
      </w:r>
      <w:r>
        <w:rPr>
          <w:sz w:val="28"/>
        </w:rPr>
        <w:t>округа</w:t>
      </w:r>
      <w:r>
        <w:t>.</w:t>
      </w:r>
    </w:p>
    <w:p w14:paraId="13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4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5000000">
      <w:pPr>
        <w:ind w:firstLine="567" w:left="0"/>
        <w:jc w:val="both"/>
      </w:pPr>
      <w:r>
        <w:t>4. Проект нормативного правового акта может быть рекомендован для официального принятия.</w:t>
      </w:r>
    </w:p>
    <w:p w14:paraId="16000000"/>
    <w:p w14:paraId="17000000"/>
    <w:p w14:paraId="18000000">
      <w:r>
        <w:t>Исполняющий</w:t>
      </w:r>
      <w:r>
        <w:t xml:space="preserve"> обязанности начальника</w:t>
      </w:r>
    </w:p>
    <w:p w14:paraId="19000000">
      <w:r>
        <w:t>правового управления администрации</w:t>
      </w:r>
    </w:p>
    <w:p w14:paraId="1A000000">
      <w:r>
        <w:t>Туапсинского муниципального округа                                               М.А.</w:t>
      </w:r>
      <w:r>
        <w:t xml:space="preserve"> </w:t>
      </w:r>
      <w:r>
        <w:t>Синенко</w:t>
      </w:r>
    </w:p>
    <w:p w14:paraId="1B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Balloon Text"/>
    <w:basedOn w:val="Style_2"/>
    <w:link w:val="Style_5_ch"/>
    <w:rPr>
      <w:rFonts w:ascii="Tahoma" w:hAnsi="Tahoma"/>
      <w:sz w:val="16"/>
    </w:rPr>
  </w:style>
  <w:style w:styleId="Style_5_ch" w:type="character">
    <w:name w:val="Balloon Text"/>
    <w:basedOn w:val="Style_2_ch"/>
    <w:link w:val="Style_5"/>
    <w:rPr>
      <w:rFonts w:ascii="Tahoma" w:hAnsi="Tahoma"/>
      <w:sz w:val="16"/>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ConsPlusNormal"/>
    <w:link w:val="Style_15_ch"/>
    <w:pPr>
      <w:widowControl w:val="0"/>
      <w:spacing w:after="0" w:line="240" w:lineRule="auto"/>
      <w:ind/>
    </w:pPr>
    <w:rPr>
      <w:rFonts w:ascii="Calibri" w:hAnsi="Calibri"/>
    </w:rPr>
  </w:style>
  <w:style w:styleId="Style_15_ch" w:type="character">
    <w:name w:val="ConsPlusNormal"/>
    <w:link w:val="Style_15"/>
    <w:rPr>
      <w:rFonts w:ascii="Calibri" w:hAnsi="Calibri"/>
    </w:rPr>
  </w:style>
  <w:style w:styleId="Style_1" w:type="paragraph">
    <w:name w:val="Hyperlink"/>
    <w:basedOn w:val="Style_8"/>
    <w:link w:val="Style_1_ch"/>
    <w:rPr>
      <w:color w:val="0000FF"/>
      <w:u w:val="single"/>
    </w:rPr>
  </w:style>
  <w:style w:styleId="Style_1_ch" w:type="character">
    <w:name w:val="Hyperlink"/>
    <w:basedOn w:val="Style_8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Strong"/>
    <w:link w:val="Style_18_ch"/>
    <w:rPr>
      <w:rFonts w:ascii="Times New Roman" w:hAnsi="Times New Roman"/>
      <w:b w:val="1"/>
    </w:rPr>
  </w:style>
  <w:style w:styleId="Style_18_ch" w:type="character">
    <w:name w:val="Strong"/>
    <w:link w:val="Style_18"/>
    <w:rPr>
      <w:rFonts w:ascii="Times New Roman" w:hAnsi="Times New Roman"/>
      <w:b w:val="1"/>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2025-03-13T16:59:35Z</dcterms:modified>
</cp:coreProperties>
</file>