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A0" w:rsidRDefault="003C172B" w:rsidP="005235A0">
      <w:pPr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Н</w:t>
      </w:r>
      <w:r w:rsidR="005235A0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</w:p>
    <w:p w:rsidR="005235A0" w:rsidRDefault="005235A0" w:rsidP="005235A0">
      <w:pPr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управления  имущественных отношений</w:t>
      </w:r>
    </w:p>
    <w:p w:rsidR="005235A0" w:rsidRDefault="005235A0" w:rsidP="005235A0">
      <w:pPr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администрации  МО Туапсинский район</w:t>
      </w:r>
    </w:p>
    <w:p w:rsidR="005235A0" w:rsidRDefault="005235A0" w:rsidP="005235A0">
      <w:pPr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Е.И.Васинской</w:t>
      </w:r>
      <w:proofErr w:type="spellEnd"/>
    </w:p>
    <w:p w:rsidR="005235A0" w:rsidRDefault="005235A0" w:rsidP="005235A0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5235A0" w:rsidRDefault="005235A0" w:rsidP="005235A0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5235A0" w:rsidRDefault="005235A0" w:rsidP="005235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5235A0" w:rsidRDefault="005235A0" w:rsidP="005235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35A0" w:rsidRPr="00B7285A" w:rsidRDefault="005235A0" w:rsidP="00B9397E">
      <w:pPr>
        <w:tabs>
          <w:tab w:val="left" w:pos="709"/>
        </w:tabs>
        <w:suppressAutoHyphens/>
        <w:ind w:left="567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97E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проекта решения  Совета  МО Туапсинский район </w:t>
      </w:r>
      <w:r w:rsidR="003C172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изменений в  решение  Совета муниципального образования Туапсинский район от 31 июля 2015 года №329 </w:t>
      </w:r>
      <w:r w:rsidRPr="00B939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9397E" w:rsidRPr="00B9397E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Об утверждении Положения о муниципальном земельном контроле на территории муниципального образования Туапсинский район</w:t>
      </w:r>
      <w:r w:rsidRPr="00B7285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5235A0" w:rsidRDefault="005235A0" w:rsidP="005235A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35A0" w:rsidRDefault="005235A0" w:rsidP="003C172B">
      <w:pPr>
        <w:tabs>
          <w:tab w:val="left" w:pos="709"/>
        </w:tabs>
        <w:suppressAutoHyphens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</w:t>
      </w:r>
      <w:r w:rsidR="00B9397E" w:rsidRPr="00B9397E">
        <w:rPr>
          <w:rFonts w:ascii="Times New Roman" w:eastAsia="Times New Roman" w:hAnsi="Times New Roman"/>
          <w:sz w:val="28"/>
          <w:szCs w:val="28"/>
          <w:lang w:eastAsia="ru-RU"/>
        </w:rPr>
        <w:t xml:space="preserve">  решения  Совета  МО Туапсинский район </w:t>
      </w:r>
      <w:r w:rsidR="003C172B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 решение  Совета муниципального образования Туапсинский район от 31 июля 2015 года №329 </w:t>
      </w:r>
      <w:r w:rsidR="003C172B" w:rsidRPr="00B939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C172B" w:rsidRPr="00B9397E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Об утверждении Положения о муниципальном земельном контроле на территории муниципального образования Туапсинский район</w:t>
      </w:r>
      <w:r w:rsidR="003C172B" w:rsidRPr="00B7285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поступивший  из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имущественных отношений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 МО  Туапсинский   район   установил:</w:t>
      </w:r>
    </w:p>
    <w:p w:rsidR="005235A0" w:rsidRDefault="005235A0" w:rsidP="0052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5235A0" w:rsidRDefault="005235A0" w:rsidP="00523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услуг», Земельным кодексом Российской Федерации,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Законом Краснодарского края от 5 ноября 2002 года № 532-КЗ «Об основах регулирования земельных отношений в Краснодарском крае».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235A0" w:rsidRDefault="005235A0" w:rsidP="0052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«Антикоррупционная и независимая экспертиза</w:t>
      </w:r>
      <w:r w:rsidR="00B93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нормативных правовых актов (проектов)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5235A0" w:rsidRDefault="005235A0" w:rsidP="0052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5235A0" w:rsidRDefault="005235A0" w:rsidP="005235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5235A0" w:rsidRDefault="005235A0" w:rsidP="005235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5235A0" w:rsidRDefault="005235A0" w:rsidP="005235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5A0" w:rsidRDefault="005235A0" w:rsidP="005235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5235A0" w:rsidRDefault="005235A0" w:rsidP="005235A0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                      В.Н.   Солопов          </w:t>
      </w:r>
    </w:p>
    <w:sectPr w:rsidR="005235A0" w:rsidSect="00C8212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F8"/>
    <w:rsid w:val="003C172B"/>
    <w:rsid w:val="005235A0"/>
    <w:rsid w:val="006E362C"/>
    <w:rsid w:val="0083343B"/>
    <w:rsid w:val="009126CE"/>
    <w:rsid w:val="009926FE"/>
    <w:rsid w:val="00B9397E"/>
    <w:rsid w:val="00D71F9F"/>
    <w:rsid w:val="00EA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23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23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6</cp:revision>
  <dcterms:created xsi:type="dcterms:W3CDTF">2015-07-15T08:08:00Z</dcterms:created>
  <dcterms:modified xsi:type="dcterms:W3CDTF">2015-10-06T10:50:00Z</dcterms:modified>
</cp:coreProperties>
</file>