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36"/>
          <w:szCs w:val="28"/>
          <w:lang w:eastAsia="ru-RU"/>
        </w:rPr>
        <w:t xml:space="preserve">Порядок присоединения торгово-сервисных предприятий к оказанию услуги «наличные на кассе» (выдача наличных денег держателям банковских платежных карт на кассах при совершении покупки) </w:t>
      </w:r>
    </w:p>
    <w:p>
      <w:pPr>
        <w:spacing w:after="0" w:line="336" w:lineRule="auto"/>
        <w:ind w:firstLine="709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336" w:lineRule="auto"/>
        <w:ind w:firstLine="709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Преимущества для ТСП</w:t>
      </w:r>
    </w:p>
    <w:p>
      <w:pPr>
        <w:spacing w:after="0" w:line="33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Тысячи владельцев торгово-сервисных предприятий уже оценили конкурентные преимущества, которые получает их бизнес благодаря услуге «наличные на кассе»:</w:t>
      </w:r>
    </w:p>
    <w:p>
      <w:pPr>
        <w:pStyle w:val="10"/>
        <w:numPr>
          <w:ilvl w:val="0"/>
          <w:numId w:val="1"/>
        </w:numPr>
        <w:spacing w:after="0" w:line="336" w:lineRule="auto"/>
        <w:ind w:left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привлечение новых и удержание старых клиентов за счет расширения сервиса предоставляемых услуг;</w:t>
      </w:r>
    </w:p>
    <w:p>
      <w:pPr>
        <w:pStyle w:val="10"/>
        <w:numPr>
          <w:ilvl w:val="0"/>
          <w:numId w:val="1"/>
        </w:numPr>
        <w:spacing w:after="0" w:line="336" w:lineRule="auto"/>
        <w:ind w:left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получение дополнительного дохода (банк выплачивает вознаграждение);</w:t>
      </w:r>
    </w:p>
    <w:p>
      <w:pPr>
        <w:pStyle w:val="10"/>
        <w:numPr>
          <w:ilvl w:val="0"/>
          <w:numId w:val="1"/>
        </w:numPr>
        <w:spacing w:after="0" w:line="336" w:lineRule="auto"/>
        <w:ind w:left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увеличение объема продаж, так как услуга «наличные на кассе» возможна только с покупкой;</w:t>
      </w:r>
    </w:p>
    <w:p>
      <w:pPr>
        <w:pStyle w:val="10"/>
        <w:numPr>
          <w:ilvl w:val="0"/>
          <w:numId w:val="1"/>
        </w:numPr>
        <w:spacing w:after="0" w:line="336" w:lineRule="auto"/>
        <w:ind w:left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снижение издержек на инкассацию;</w:t>
      </w:r>
    </w:p>
    <w:p>
      <w:pPr>
        <w:pStyle w:val="10"/>
        <w:numPr>
          <w:ilvl w:val="0"/>
          <w:numId w:val="1"/>
        </w:numPr>
        <w:spacing w:after="0" w:line="336" w:lineRule="auto"/>
        <w:ind w:left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возможность участия в мотивационных программах банка.</w:t>
      </w:r>
    </w:p>
    <w:p>
      <w:pPr>
        <w:spacing w:before="240" w:after="0" w:line="33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Владельцы ТСП должны обеспечить: </w:t>
      </w:r>
    </w:p>
    <w:p>
      <w:pPr>
        <w:pStyle w:val="10"/>
        <w:numPr>
          <w:ilvl w:val="0"/>
          <w:numId w:val="1"/>
        </w:numPr>
        <w:spacing w:after="0" w:line="336" w:lineRule="auto"/>
        <w:ind w:left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обучение персонала (банк и поставщик кассового программного обеспечения (ПО) предоставляют инструкции и описание функционала);</w:t>
      </w:r>
    </w:p>
    <w:p>
      <w:pPr>
        <w:pStyle w:val="10"/>
        <w:numPr>
          <w:ilvl w:val="0"/>
          <w:numId w:val="1"/>
        </w:numPr>
        <w:spacing w:after="0" w:line="336" w:lineRule="auto"/>
        <w:ind w:left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консультирование покупателей по условиям проведения операции «наличные на кассе» до момента проведения операции; </w:t>
      </w:r>
    </w:p>
    <w:p>
      <w:pPr>
        <w:pStyle w:val="10"/>
        <w:numPr>
          <w:ilvl w:val="0"/>
          <w:numId w:val="1"/>
        </w:numPr>
        <w:spacing w:after="0" w:line="336" w:lineRule="auto"/>
        <w:ind w:left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отражение в бухгалтерском и налоговом учете деятельности банковского платежного агента (БПА); </w:t>
      </w:r>
    </w:p>
    <w:p>
      <w:pPr>
        <w:pStyle w:val="10"/>
        <w:numPr>
          <w:ilvl w:val="0"/>
          <w:numId w:val="1"/>
        </w:numPr>
        <w:spacing w:after="0" w:line="336" w:lineRule="auto"/>
        <w:ind w:left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прохождение периодической проверки по требованию банка. </w:t>
      </w:r>
    </w:p>
    <w:p>
      <w:pPr>
        <w:spacing w:after="0" w:line="33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33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Порядок действий</w:t>
      </w:r>
    </w:p>
    <w:p>
      <w:pPr>
        <w:spacing w:after="0" w:line="33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того чтобы начать предоставлять услугу населению по выдаче наличных на кассе, ТСП необходимо выполнить следующие шаги. </w:t>
      </w:r>
    </w:p>
    <w:p>
      <w:pPr>
        <w:pStyle w:val="10"/>
        <w:spacing w:after="0" w:line="336" w:lineRule="auto"/>
        <w:ind w:left="3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 Иметь действующий/заключить договор эквайринга;</w:t>
      </w:r>
    </w:p>
    <w:p>
      <w:pPr>
        <w:pStyle w:val="10"/>
        <w:spacing w:after="0" w:line="336" w:lineRule="auto"/>
        <w:ind w:left="3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 Заключить типовой договор с банком о выполнении функций БПА по выдаче наличных денежных средств (не может быть в форме дополнительного соглашения при наличии договора торгового эквайринга);</w:t>
      </w:r>
    </w:p>
    <w:p>
      <w:pPr>
        <w:pStyle w:val="10"/>
        <w:spacing w:after="0" w:line="336" w:lineRule="auto"/>
        <w:ind w:left="3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Зарегистрировать в Федеральной налоговой службе (далее – ФНС) вид деятельности с кодом ОКВЭД 66.19 «Деятельность вспомогательная прочая в сфере финансовых услуг, кроме страхования и пенсионного обеспечения» (используемая контрольно-кассовая техника (ККТ) также должна быть зарегистрирована в ФНС); </w:t>
      </w:r>
    </w:p>
    <w:p>
      <w:pPr>
        <w:pStyle w:val="10"/>
        <w:spacing w:after="0" w:line="336" w:lineRule="auto"/>
        <w:ind w:left="3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4) Провести настройку ККТ (кассового ПО);</w:t>
      </w:r>
    </w:p>
    <w:p>
      <w:pPr>
        <w:pStyle w:val="10"/>
        <w:spacing w:after="0" w:line="336" w:lineRule="auto"/>
        <w:ind w:left="3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 Разместить в помещении ТСП в уголке потребителя информацию о деятельности БПА, необходимую клиентам. </w:t>
      </w:r>
    </w:p>
    <w:p>
      <w:pPr>
        <w:spacing w:after="0" w:line="33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33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Настройка оборудования</w:t>
      </w:r>
    </w:p>
    <w:p>
      <w:pPr>
        <w:spacing w:after="0" w:line="33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 заключения договора БПА банк, в зависимости от модели оборудования, установленного в ТСП в рамках договора торгового эквайринга, либо удаленно обновляет ПО, либо заменяет оборудование на модель, поддерживающую необходимый функционал. Банк уведомляет ТСП о необходимости доработки кассового ПО и, по желанию ТСП, подключает предоставленное оборудование к кассе. </w:t>
      </w:r>
    </w:p>
    <w:p>
      <w:pPr>
        <w:spacing w:after="0" w:line="33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случаях, когда ТСП использует какие-то иные модели кассового оборудования, не из числа рекомендованных банком, банк не проводит доработку кассового ПО, но может оказать поддержку при взаимодействии между ТСП и обслуживающей организацией, дорабатывающей кассовое ПО.</w:t>
      </w:r>
    </w:p>
    <w:p>
      <w:pPr>
        <w:spacing w:after="0" w:line="33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33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Обучение персонала</w:t>
      </w:r>
    </w:p>
    <w:p>
      <w:pPr>
        <w:spacing w:after="0" w:line="33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Банк дает рекомендации и общую информацию по работе при оказании услуги БПА. ТСП самостоятельно организует подготовку и обучение персонала на основании информации, полученной от банка и обслуживающей организации, предоставляющей кассовое ПО. </w:t>
      </w:r>
    </w:p>
    <w:p>
      <w:pPr>
        <w:spacing w:after="0" w:line="33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33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Процесс проверки качества работы</w:t>
      </w:r>
    </w:p>
    <w:p>
      <w:pPr>
        <w:spacing w:after="0" w:line="336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Банк контролирует соблюдение ТСП требований Договора о выполнении функций БПА, а также требований действующего законодательства к деятельности ТСП в качестве БПА. Контроль может проводиться в том числе удаленно. </w:t>
      </w:r>
    </w:p>
    <w:sectPr>
      <w:headerReference r:id="rId5" w:type="default"/>
      <w:pgSz w:w="11906" w:h="16838"/>
      <w:pgMar w:top="1134" w:right="850" w:bottom="850" w:left="1701" w:header="708" w:footer="709" w:gutter="0"/>
      <w:paperSrc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1" w:usb3="00000000" w:csb0="0000019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Noto Sans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ingdings">
    <w:altName w:val="XO 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XO Symbol">
    <w:panose1 w:val="05000600020000020004"/>
    <w:charset w:val="00"/>
    <w:family w:val="auto"/>
    <w:pitch w:val="default"/>
    <w:sig w:usb0="8000008B" w:usb1="100060EA" w:usb2="00000000" w:usb3="00000000" w:csb0="80000001" w:csb1="00000000"/>
  </w:font>
  <w:font w:name="Courier New">
    <w:panose1 w:val="02070309020205020404"/>
    <w:charset w:val="CC"/>
    <w:family w:val="modern"/>
    <w:pitch w:val="default"/>
    <w:sig w:usb0="00007A87" w:usb1="80000000" w:usb2="00000008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2074940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A55A7"/>
    <w:multiLevelType w:val="multilevel"/>
    <w:tmpl w:val="0AFA55A7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ind w:left="2149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A7"/>
    <w:rsid w:val="00035AA0"/>
    <w:rsid w:val="000566BA"/>
    <w:rsid w:val="00066B43"/>
    <w:rsid w:val="00083559"/>
    <w:rsid w:val="000B3A1C"/>
    <w:rsid w:val="000D6039"/>
    <w:rsid w:val="0014116A"/>
    <w:rsid w:val="00172D80"/>
    <w:rsid w:val="00193338"/>
    <w:rsid w:val="001F5F89"/>
    <w:rsid w:val="001F7F2E"/>
    <w:rsid w:val="00263ECB"/>
    <w:rsid w:val="002A5E10"/>
    <w:rsid w:val="002C224D"/>
    <w:rsid w:val="002E6A32"/>
    <w:rsid w:val="00301DD0"/>
    <w:rsid w:val="003E737F"/>
    <w:rsid w:val="0040191E"/>
    <w:rsid w:val="004615AC"/>
    <w:rsid w:val="00491FED"/>
    <w:rsid w:val="0049713E"/>
    <w:rsid w:val="004B7337"/>
    <w:rsid w:val="004C5805"/>
    <w:rsid w:val="004E4738"/>
    <w:rsid w:val="00501621"/>
    <w:rsid w:val="00532B40"/>
    <w:rsid w:val="005703FB"/>
    <w:rsid w:val="005A166B"/>
    <w:rsid w:val="005C13A4"/>
    <w:rsid w:val="005D0CAC"/>
    <w:rsid w:val="00607F32"/>
    <w:rsid w:val="00646E74"/>
    <w:rsid w:val="00653CA7"/>
    <w:rsid w:val="00663CF6"/>
    <w:rsid w:val="0069320E"/>
    <w:rsid w:val="006C343C"/>
    <w:rsid w:val="00723CDD"/>
    <w:rsid w:val="00725CB9"/>
    <w:rsid w:val="00766055"/>
    <w:rsid w:val="007B58E3"/>
    <w:rsid w:val="007C09F0"/>
    <w:rsid w:val="007F33EA"/>
    <w:rsid w:val="00831924"/>
    <w:rsid w:val="00870F53"/>
    <w:rsid w:val="0088648E"/>
    <w:rsid w:val="0093159B"/>
    <w:rsid w:val="009350EA"/>
    <w:rsid w:val="00953B65"/>
    <w:rsid w:val="00976731"/>
    <w:rsid w:val="00980276"/>
    <w:rsid w:val="009938B0"/>
    <w:rsid w:val="009C1EAA"/>
    <w:rsid w:val="00A451DD"/>
    <w:rsid w:val="00A635B7"/>
    <w:rsid w:val="00A65C59"/>
    <w:rsid w:val="00A84B2B"/>
    <w:rsid w:val="00AC7170"/>
    <w:rsid w:val="00B27743"/>
    <w:rsid w:val="00B420B1"/>
    <w:rsid w:val="00B73809"/>
    <w:rsid w:val="00B809AF"/>
    <w:rsid w:val="00B83790"/>
    <w:rsid w:val="00BB296D"/>
    <w:rsid w:val="00BD7C6A"/>
    <w:rsid w:val="00BE0D0B"/>
    <w:rsid w:val="00C47091"/>
    <w:rsid w:val="00C555C8"/>
    <w:rsid w:val="00C6580A"/>
    <w:rsid w:val="00CC3FA4"/>
    <w:rsid w:val="00CE420E"/>
    <w:rsid w:val="00D65D3A"/>
    <w:rsid w:val="00E6318E"/>
    <w:rsid w:val="00EA4FFB"/>
    <w:rsid w:val="00EA535F"/>
    <w:rsid w:val="00EA5FAA"/>
    <w:rsid w:val="00EC597E"/>
    <w:rsid w:val="00EC683F"/>
    <w:rsid w:val="00ED522E"/>
    <w:rsid w:val="00F13B35"/>
    <w:rsid w:val="00F52D6F"/>
    <w:rsid w:val="00F60B9F"/>
    <w:rsid w:val="00FB276F"/>
    <w:rsid w:val="00FF5370"/>
    <w:rsid w:val="00FF6B58"/>
    <w:rsid w:val="FBB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annotation text"/>
    <w:basedOn w:val="1"/>
    <w:link w:val="14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5"/>
    <w:semiHidden/>
    <w:unhideWhenUsed/>
    <w:qFormat/>
    <w:uiPriority w:val="99"/>
    <w:rPr>
      <w:b/>
      <w:bCs/>
    </w:rPr>
  </w:style>
  <w:style w:type="paragraph" w:styleId="8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Верхний колонтитул Знак"/>
    <w:basedOn w:val="2"/>
    <w:link w:val="8"/>
    <w:qFormat/>
    <w:uiPriority w:val="99"/>
  </w:style>
  <w:style w:type="character" w:customStyle="1" w:styleId="12">
    <w:name w:val="Нижний колонтитул Знак"/>
    <w:basedOn w:val="2"/>
    <w:link w:val="9"/>
    <w:qFormat/>
    <w:uiPriority w:val="99"/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Текст примечания Знак"/>
    <w:basedOn w:val="2"/>
    <w:link w:val="6"/>
    <w:semiHidden/>
    <w:uiPriority w:val="99"/>
    <w:rPr>
      <w:sz w:val="20"/>
      <w:szCs w:val="20"/>
    </w:rPr>
  </w:style>
  <w:style w:type="character" w:customStyle="1" w:styleId="15">
    <w:name w:val="Тема примечания Знак"/>
    <w:basedOn w:val="14"/>
    <w:link w:val="7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467</Words>
  <Characters>2664</Characters>
  <Lines>22</Lines>
  <Paragraphs>6</Paragraphs>
  <TotalTime>1</TotalTime>
  <ScaleCrop>false</ScaleCrop>
  <LinksUpToDate>false</LinksUpToDate>
  <CharactersWithSpaces>3125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2024-04-03T09:03:00Z</dcterms:created>
  <dc:creator>Белоконь Юлия Васильевна</dc:creator>
  <cp:lastModifiedBy>e.a.mirokhin</cp:lastModifiedBy>
  <cp:lastPrinted>2025-07-15T15:32:12Z</cp:lastPrinted>
  <dcterms:modified xsi:type="dcterms:W3CDTF">2025-07-15T15:32:59Z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0x0101008F0723261257DF4D8619C8AE91410602</vt:lpwstr>
  </property>
  <property fmtid="{D5CDD505-2E9C-101B-9397-08002B2CF9AE}" pid="3" name="_dlc_DocIdItemGuid">
    <vt:lpwstr>b1978330-bb70-40c7-a992-3692b6694e6c</vt:lpwstr>
  </property>
  <property fmtid="{D5CDD505-2E9C-101B-9397-08002B2CF9AE}" pid="4" name="KSOProductBuildVer">
    <vt:lpwstr>1049-11.1.0.11723</vt:lpwstr>
  </property>
</Properties>
</file>