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pPr>
      <w:r>
        <w:t xml:space="preserve">по результатам экспертизы проекта постановления администрации Туапсинского муниципального округа </w:t>
      </w:r>
      <w:r>
        <w:t>«</w:t>
      </w:r>
      <w:r>
        <w:rPr>
          <w:b w:val="0"/>
          <w:sz w:val="28"/>
        </w:rPr>
        <w:t>О внесени</w:t>
      </w:r>
      <w:r>
        <w:rPr>
          <w:b w:val="0"/>
          <w:sz w:val="28"/>
        </w:rPr>
        <w:t>и</w:t>
      </w:r>
      <w:r>
        <w:rPr>
          <w:b w:val="0"/>
          <w:sz w:val="28"/>
        </w:rPr>
        <w:t xml:space="preserve"> изменени</w:t>
      </w:r>
      <w:r>
        <w:rPr>
          <w:b w:val="0"/>
          <w:sz w:val="28"/>
        </w:rPr>
        <w:t>й</w:t>
      </w:r>
      <w:r>
        <w:rPr>
          <w:b w:val="0"/>
          <w:sz w:val="28"/>
        </w:rPr>
        <w:t xml:space="preserve"> </w:t>
      </w:r>
    </w:p>
    <w:p w14:paraId="09000000">
      <w:pPr>
        <w:ind/>
        <w:jc w:val="center"/>
      </w:pPr>
      <w:r>
        <w:rPr>
          <w:b w:val="0"/>
          <w:sz w:val="28"/>
        </w:rPr>
        <w:t xml:space="preserve">в </w:t>
      </w:r>
      <w:r>
        <w:rPr>
          <w:b w:val="0"/>
          <w:sz w:val="28"/>
        </w:rPr>
        <w:t xml:space="preserve">постановление </w:t>
      </w:r>
      <w:r>
        <w:rPr>
          <w:b w:val="0"/>
          <w:sz w:val="28"/>
        </w:rPr>
        <w:t xml:space="preserve">администрации </w:t>
      </w:r>
      <w:r>
        <w:rPr>
          <w:b w:val="0"/>
          <w:sz w:val="28"/>
        </w:rPr>
        <w:t xml:space="preserve">муниципального образования </w:t>
      </w:r>
    </w:p>
    <w:p w14:paraId="0A000000">
      <w:pPr>
        <w:ind/>
        <w:jc w:val="center"/>
      </w:pPr>
      <w:r>
        <w:rPr>
          <w:b w:val="0"/>
          <w:color w:val="000000"/>
          <w:sz w:val="28"/>
        </w:rPr>
        <w:t xml:space="preserve">Туапсинский район </w:t>
      </w:r>
      <w:r>
        <w:rPr>
          <w:b w:val="0"/>
          <w:sz w:val="28"/>
        </w:rPr>
        <w:t xml:space="preserve">от 30 января 2024 г. № 87 «Об утверждении </w:t>
      </w:r>
    </w:p>
    <w:p w14:paraId="0B000000">
      <w:pPr>
        <w:ind/>
        <w:jc w:val="center"/>
      </w:pPr>
      <w:r>
        <w:rPr>
          <w:b w:val="0"/>
          <w:sz w:val="28"/>
        </w:rPr>
        <w:t xml:space="preserve">Порядка </w:t>
      </w:r>
      <w:r>
        <w:rPr>
          <w:b w:val="0"/>
          <w:sz w:val="28"/>
        </w:rPr>
        <w:t xml:space="preserve">предоставления субсидии юридическим лицам, </w:t>
      </w:r>
    </w:p>
    <w:p w14:paraId="0C000000">
      <w:pPr>
        <w:ind/>
        <w:jc w:val="center"/>
      </w:pPr>
      <w:r>
        <w:rPr>
          <w:b w:val="0"/>
          <w:sz w:val="28"/>
        </w:rPr>
        <w:t>и</w:t>
      </w:r>
      <w:r>
        <w:rPr>
          <w:b w:val="0"/>
          <w:sz w:val="28"/>
        </w:rPr>
        <w:t xml:space="preserve">ндивидуальным предпринимателям, физическим лицам – </w:t>
      </w:r>
    </w:p>
    <w:p w14:paraId="0D000000">
      <w:pPr>
        <w:ind/>
        <w:jc w:val="center"/>
      </w:pPr>
      <w:r>
        <w:rPr>
          <w:b w:val="0"/>
          <w:sz w:val="28"/>
        </w:rPr>
        <w:t xml:space="preserve">производителям товаров, работ, услуг на оплату </w:t>
      </w:r>
      <w:r>
        <w:rPr>
          <w:b w:val="0"/>
          <w:sz w:val="28"/>
        </w:rPr>
        <w:t xml:space="preserve">соглашения </w:t>
      </w:r>
    </w:p>
    <w:p w14:paraId="0E000000">
      <w:pPr>
        <w:ind/>
        <w:jc w:val="center"/>
      </w:pPr>
      <w:r>
        <w:rPr>
          <w:b w:val="0"/>
          <w:sz w:val="28"/>
        </w:rPr>
        <w:t xml:space="preserve">о финансовом обеспечении затрат, связанных </w:t>
      </w:r>
      <w:r>
        <w:rPr>
          <w:b w:val="0"/>
          <w:sz w:val="28"/>
        </w:rPr>
        <w:t xml:space="preserve">с оказанием </w:t>
      </w:r>
    </w:p>
    <w:p w14:paraId="0F000000">
      <w:pPr>
        <w:ind/>
        <w:jc w:val="center"/>
      </w:pPr>
      <w:r>
        <w:rPr>
          <w:b w:val="0"/>
          <w:sz w:val="28"/>
        </w:rPr>
        <w:t xml:space="preserve">муниципальных услуг в социальной сфере </w:t>
      </w:r>
      <w:r>
        <w:rPr>
          <w:b w:val="0"/>
          <w:sz w:val="28"/>
        </w:rPr>
        <w:t xml:space="preserve">в соответствии </w:t>
      </w:r>
    </w:p>
    <w:p w14:paraId="10000000">
      <w:pPr>
        <w:ind/>
        <w:jc w:val="center"/>
      </w:pPr>
      <w:r>
        <w:rPr>
          <w:b w:val="0"/>
          <w:sz w:val="28"/>
        </w:rPr>
        <w:t>с социальным сертификатом»</w:t>
      </w:r>
    </w:p>
    <w:p w14:paraId="11000000">
      <w:pPr>
        <w:ind/>
        <w:jc w:val="center"/>
        <w:rPr>
          <w:b w:val="1"/>
          <w:sz w:val="28"/>
        </w:rPr>
      </w:pPr>
    </w:p>
    <w:p w14:paraId="12000000">
      <w:pPr>
        <w:ind/>
        <w:jc w:val="center"/>
        <w:rPr>
          <w:sz w:val="28"/>
        </w:rPr>
      </w:pPr>
    </w:p>
    <w:p w14:paraId="13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О внесени</w:t>
      </w:r>
      <w:r>
        <w:rPr>
          <w:b w:val="0"/>
          <w:sz w:val="28"/>
        </w:rPr>
        <w:t>и</w:t>
      </w:r>
      <w:r>
        <w:rPr>
          <w:b w:val="0"/>
          <w:sz w:val="28"/>
        </w:rPr>
        <w:t xml:space="preserve"> изменени</w:t>
      </w:r>
      <w:r>
        <w:rPr>
          <w:b w:val="0"/>
          <w:sz w:val="28"/>
        </w:rPr>
        <w:t>й</w:t>
      </w:r>
      <w:r>
        <w:rPr>
          <w:b w:val="0"/>
          <w:sz w:val="28"/>
        </w:rPr>
        <w:t xml:space="preserve"> </w:t>
      </w:r>
      <w:r>
        <w:rPr>
          <w:b w:val="0"/>
          <w:sz w:val="28"/>
        </w:rPr>
        <w:t xml:space="preserve">в </w:t>
      </w:r>
      <w:r>
        <w:rPr>
          <w:b w:val="0"/>
          <w:sz w:val="28"/>
        </w:rPr>
        <w:t xml:space="preserve">постановление </w:t>
      </w:r>
      <w:r>
        <w:rPr>
          <w:b w:val="0"/>
          <w:sz w:val="28"/>
        </w:rPr>
        <w:t xml:space="preserve">администрации </w:t>
      </w:r>
      <w:r>
        <w:rPr>
          <w:b w:val="0"/>
          <w:sz w:val="28"/>
        </w:rPr>
        <w:t xml:space="preserve">муниципального образования </w:t>
      </w:r>
      <w:r>
        <w:rPr>
          <w:b w:val="0"/>
          <w:color w:val="000000"/>
          <w:sz w:val="28"/>
        </w:rPr>
        <w:t xml:space="preserve">Туапсинский район </w:t>
      </w:r>
      <w:r>
        <w:rPr>
          <w:b w:val="0"/>
          <w:sz w:val="28"/>
        </w:rPr>
        <w:t xml:space="preserve">от 30 января 2024 г. № 87 «Об утверждении </w:t>
      </w:r>
      <w:r>
        <w:rPr>
          <w:b w:val="0"/>
          <w:sz w:val="28"/>
        </w:rPr>
        <w:t xml:space="preserve">Порядка </w:t>
      </w:r>
      <w:r>
        <w:rPr>
          <w:b w:val="0"/>
          <w:sz w:val="28"/>
        </w:rPr>
        <w:t xml:space="preserve">предоставления субсидии юридическим лицам, </w:t>
      </w:r>
      <w:r>
        <w:rPr>
          <w:b w:val="0"/>
          <w:sz w:val="28"/>
        </w:rPr>
        <w:t>и</w:t>
      </w:r>
      <w:r>
        <w:rPr>
          <w:b w:val="0"/>
          <w:sz w:val="28"/>
        </w:rPr>
        <w:t xml:space="preserve">ндивидуальным предпринимателям, физическим лицам – </w:t>
      </w:r>
      <w:r>
        <w:rPr>
          <w:b w:val="0"/>
          <w:sz w:val="28"/>
        </w:rPr>
        <w:t xml:space="preserve">производителям товаров, работ, услуг на оплату </w:t>
      </w:r>
      <w:r>
        <w:rPr>
          <w:b w:val="0"/>
          <w:sz w:val="28"/>
        </w:rPr>
        <w:t xml:space="preserve">соглашения </w:t>
      </w:r>
      <w:r>
        <w:rPr>
          <w:b w:val="0"/>
          <w:sz w:val="28"/>
        </w:rPr>
        <w:t xml:space="preserve">о финансовом обеспечении затрат, связанных </w:t>
      </w:r>
      <w:r>
        <w:rPr>
          <w:b w:val="0"/>
          <w:sz w:val="28"/>
        </w:rPr>
        <w:t xml:space="preserve">с оказанием </w:t>
      </w:r>
      <w:r>
        <w:rPr>
          <w:b w:val="0"/>
          <w:sz w:val="28"/>
        </w:rPr>
        <w:t xml:space="preserve">муниципальных услуг в социальной сфере </w:t>
      </w:r>
      <w:r>
        <w:rPr>
          <w:b w:val="0"/>
          <w:sz w:val="28"/>
        </w:rPr>
        <w:t xml:space="preserve">в соответствии </w:t>
      </w:r>
      <w:r>
        <w:rPr>
          <w:b w:val="0"/>
          <w:sz w:val="28"/>
        </w:rPr>
        <w:t>с социальным сертификатом</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14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5000000">
      <w:pPr>
        <w:ind w:firstLine="567" w:left="0"/>
        <w:jc w:val="both"/>
      </w:pPr>
      <w:r>
        <w:rPr>
          <w:color w:themeColor="text1" w:val="000000"/>
          <w:sz w:val="28"/>
        </w:rPr>
        <w:t>частью 2 статьи 78.4 Бюджетного кодекса Российской Федерации, частью 2 статьи 22 Федерального закона от 13 июля 2020 г. № 189-ФЗ «О государственном (муниципальном) социальном заказе</w:t>
      </w:r>
      <w:r>
        <w:rPr>
          <w:color w:themeColor="text1" w:val="000000"/>
          <w:sz w:val="28"/>
        </w:rPr>
        <w:t xml:space="preserve"> </w:t>
      </w:r>
      <w:r>
        <w:rPr>
          <w:color w:themeColor="text1" w:val="000000"/>
          <w:sz w:val="28"/>
        </w:rPr>
        <w:t xml:space="preserve">на оказание государственных (муниципальных) услуг в социальной сфере»,  </w:t>
      </w:r>
      <w:r>
        <w:rPr>
          <w:color w:themeColor="text1" w:val="000000"/>
          <w:sz w:val="28"/>
        </w:rPr>
        <w:br/>
      </w:r>
      <w:r>
        <w:rPr>
          <w:color w:themeColor="text1" w:val="000000"/>
          <w:sz w:val="28"/>
        </w:rPr>
        <w:t xml:space="preserve">с </w:t>
      </w:r>
      <w:r>
        <w:rPr>
          <w:b w:val="0"/>
          <w:color w:themeColor="text1" w:val="000000"/>
          <w:sz w:val="28"/>
        </w:rPr>
        <w:t>Федеральным законом от 26 декабря 2024 г. № 476-ФЗ «О внесении изменений в Федеральный закон «О государственном (муниципальном) социальном заказе на оказание государственных (муниципальных</w:t>
      </w:r>
      <w:r>
        <w:rPr>
          <w:b w:val="0"/>
          <w:color w:themeColor="text1" w:val="000000"/>
          <w:sz w:val="28"/>
        </w:rPr>
        <w:t xml:space="preserve">) услуг </w:t>
      </w:r>
      <w:r>
        <w:rPr>
          <w:b w:val="0"/>
          <w:color w:themeColor="text1" w:val="000000"/>
          <w:sz w:val="28"/>
        </w:rPr>
        <w:br/>
      </w:r>
      <w:r>
        <w:rPr>
          <w:b w:val="0"/>
          <w:color w:themeColor="text1" w:val="000000"/>
          <w:sz w:val="28"/>
        </w:rPr>
        <w:t>в социальной сфере» и отдельные законодательные акты Российской Федерации»,</w:t>
      </w:r>
      <w:r>
        <w:rPr>
          <w:color w:themeColor="text1" w:val="000000"/>
          <w:sz w:val="28"/>
        </w:rPr>
        <w:t xml:space="preserve"> </w:t>
      </w:r>
      <w:r>
        <w:rPr>
          <w:color w:themeColor="text1" w:val="000000"/>
          <w:sz w:val="28"/>
        </w:rPr>
        <w:t>постановлением</w:t>
      </w:r>
      <w:r>
        <w:rPr>
          <w:color w:themeColor="text1" w:val="000000"/>
          <w:sz w:val="28"/>
        </w:rPr>
        <w:t xml:space="preserve"> </w:t>
      </w:r>
      <w:r>
        <w:rPr>
          <w:color w:themeColor="text1" w:val="000000"/>
          <w:sz w:val="28"/>
        </w:rPr>
        <w:t>администрации муниципального образования Туапсинский район от 25 декабря 2023 г. № 2320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w:t>
      </w:r>
      <w:r>
        <w:rPr>
          <w:color w:val="000000"/>
          <w:sz w:val="28"/>
        </w:rPr>
        <w:t xml:space="preserve"> Туапсинский район»</w:t>
      </w:r>
      <w:r>
        <w:t>.</w:t>
      </w:r>
    </w:p>
    <w:p w14:paraId="16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7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8000000">
      <w:pPr>
        <w:ind w:firstLine="567" w:left="0"/>
        <w:jc w:val="both"/>
      </w:pPr>
      <w:r>
        <w:t>4. Проект нормативного правового акта может быть рекомендован для официального принятия.</w:t>
      </w:r>
    </w:p>
    <w:p w14:paraId="19000000"/>
    <w:p w14:paraId="1A000000"/>
    <w:p w14:paraId="1B000000">
      <w:r>
        <w:t>Исполняющий обязанности начальника</w:t>
      </w:r>
    </w:p>
    <w:p w14:paraId="1C000000">
      <w:r>
        <w:t>правового управления администрации</w:t>
      </w:r>
    </w:p>
    <w:p w14:paraId="1D000000">
      <w:r>
        <w:t>Туапсинского муниципального округа                                          Е.В. Филимонова</w:t>
      </w:r>
    </w:p>
    <w:p w14:paraId="1E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Normal (Web)"/>
    <w:basedOn w:val="Style_2"/>
    <w:link w:val="Style_5_ch"/>
    <w:rPr>
      <w:sz w:val="24"/>
    </w:rPr>
  </w:style>
  <w:style w:styleId="Style_5_ch" w:type="character">
    <w:name w:val="Normal (Web)"/>
    <w:basedOn w:val="Style_2_ch"/>
    <w:link w:val="Style_5"/>
    <w:rPr>
      <w:sz w:val="24"/>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Strong"/>
    <w:link w:val="Style_8_ch"/>
    <w:rPr>
      <w:rFonts w:ascii="Times New Roman" w:hAnsi="Times New Roman"/>
      <w:b w:val="1"/>
    </w:rPr>
  </w:style>
  <w:style w:styleId="Style_8_ch" w:type="character">
    <w:name w:val="Strong"/>
    <w:link w:val="Style_8"/>
    <w:rPr>
      <w:rFonts w:ascii="Times New Roman" w:hAnsi="Times New Roman"/>
      <w:b w:val="1"/>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Default Paragraph Font"/>
    <w:link w:val="Style_11_ch"/>
  </w:style>
  <w:style w:styleId="Style_11_ch" w:type="character">
    <w:name w:val="Default Paragraph Font"/>
    <w:link w:val="Style_11"/>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1"/>
    <w:link w:val="Style_1_ch"/>
    <w:rPr>
      <w:color w:val="0000FF"/>
      <w:u w:val="single"/>
    </w:rPr>
  </w:style>
  <w:style w:styleId="Style_1_ch" w:type="character">
    <w:name w:val="Hyperlink"/>
    <w:basedOn w:val="Style_11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ConsPlusNormal"/>
    <w:link w:val="Style_16_ch"/>
    <w:pPr>
      <w:widowControl w:val="0"/>
      <w:spacing w:after="0" w:line="240" w:lineRule="auto"/>
      <w:ind/>
    </w:pPr>
    <w:rPr>
      <w:rFonts w:ascii="Calibri" w:hAnsi="Calibri"/>
    </w:rPr>
  </w:style>
  <w:style w:styleId="Style_16_ch" w:type="character">
    <w:name w:val="ConsPlusNormal"/>
    <w:link w:val="Style_16"/>
    <w:rPr>
      <w:rFonts w:ascii="Calibri" w:hAnsi="Calibri"/>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Balloon Text"/>
    <w:basedOn w:val="Style_2"/>
    <w:link w:val="Style_20_ch"/>
    <w:rPr>
      <w:rFonts w:ascii="Tahoma" w:hAnsi="Tahoma"/>
      <w:sz w:val="16"/>
    </w:rPr>
  </w:style>
  <w:style w:styleId="Style_20_ch" w:type="character">
    <w:name w:val="Balloon Text"/>
    <w:basedOn w:val="Style_2_ch"/>
    <w:link w:val="Style_20"/>
    <w:rPr>
      <w:rFonts w:ascii="Tahoma" w:hAnsi="Tahoma"/>
      <w:sz w:val="16"/>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2025-04-30T06:22:47Z</dcterms:modified>
</cp:coreProperties>
</file>