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ind w:firstLine="0" w:left="4961"/>
      </w:pPr>
      <w:r>
        <w:t>Начальнику  управления имущественных отношений администрации Туапсинского муниципального округа</w:t>
      </w:r>
    </w:p>
    <w:p w14:paraId="02000000">
      <w:pPr>
        <w:ind w:firstLine="0" w:left="4961"/>
      </w:pPr>
    </w:p>
    <w:p w14:paraId="03000000">
      <w:pPr>
        <w:ind w:firstLine="0" w:left="4961"/>
        <w:rPr/>
      </w:pPr>
      <w:r>
        <w:rPr/>
        <w:t>Чиркову Д.С.</w:t>
      </w:r>
    </w:p>
    <w:p w14:paraId="04000000">
      <w:pPr>
        <w:ind/>
        <w:jc w:val="both"/>
        <w:rPr>
          <w:b w:val="1"/>
        </w:rPr>
      </w:pPr>
    </w:p>
    <w:p w14:paraId="05000000">
      <w:pPr>
        <w:ind/>
        <w:jc w:val="center"/>
        <w:rPr>
          <w:b w:val="1"/>
        </w:rPr>
      </w:pPr>
    </w:p>
    <w:p w14:paraId="06000000">
      <w:pPr>
        <w:ind/>
        <w:jc w:val="center"/>
        <w:rPr>
          <w:b w:val="1"/>
        </w:rPr>
      </w:pPr>
    </w:p>
    <w:p w14:paraId="07000000">
      <w:pPr>
        <w:ind/>
        <w:jc w:val="center"/>
        <w:rPr>
          <w:b w:val="1"/>
        </w:rPr>
      </w:pPr>
      <w:r>
        <w:rPr>
          <w:b w:val="1"/>
        </w:rPr>
        <w:t>Заключение</w:t>
      </w:r>
    </w:p>
    <w:p w14:paraId="08000000">
      <w:pPr>
        <w:ind/>
        <w:jc w:val="center"/>
        <w:rPr>
          <w:b w:val="0"/>
        </w:rPr>
      </w:pPr>
      <w:r>
        <w:t xml:space="preserve">по результатам экспертизы проекта постановления администрации Туапсинского муниципального округа </w:t>
      </w:r>
      <w:r>
        <w:t>«</w:t>
      </w:r>
      <w:r>
        <w:rPr>
          <w:b w:val="0"/>
          <w:color w:val="000000"/>
          <w:sz w:val="28"/>
        </w:rPr>
        <w:t>О</w:t>
      </w:r>
      <w:r>
        <w:rPr>
          <w:b w:val="0"/>
          <w:color w:val="000000"/>
          <w:sz w:val="28"/>
        </w:rPr>
        <w:t xml:space="preserve"> создании </w:t>
      </w:r>
      <w:r>
        <w:rPr>
          <w:b w:val="0"/>
          <w:color w:val="000000"/>
          <w:sz w:val="28"/>
        </w:rPr>
        <w:t>комиссии по распределению</w:t>
      </w:r>
      <w:r>
        <w:rPr>
          <w:b w:val="0"/>
          <w:color w:val="000000"/>
          <w:sz w:val="28"/>
        </w:rPr>
        <w:t xml:space="preserve"> </w:t>
      </w:r>
      <w:r>
        <w:rPr>
          <w:b w:val="0"/>
          <w:color w:val="000000"/>
          <w:sz w:val="28"/>
        </w:rPr>
        <w:t>земельных участков</w:t>
      </w:r>
      <w:r>
        <w:rPr>
          <w:b w:val="0"/>
          <w:color w:val="000000"/>
          <w:sz w:val="28"/>
        </w:rPr>
        <w:t>,</w:t>
      </w:r>
      <w:r>
        <w:rPr>
          <w:b w:val="0"/>
          <w:color w:val="000000"/>
          <w:sz w:val="28"/>
        </w:rPr>
        <w:t xml:space="preserve"> включенных в </w:t>
      </w:r>
      <w:r>
        <w:rPr>
          <w:b w:val="0"/>
          <w:color w:val="000000"/>
          <w:sz w:val="28"/>
        </w:rPr>
        <w:t>перечень</w:t>
      </w:r>
      <w:r>
        <w:rPr>
          <w:b w:val="0"/>
          <w:color w:val="000000"/>
          <w:sz w:val="28"/>
        </w:rPr>
        <w:t xml:space="preserve"> земельных участков, предназначенных для предоставления в собственность </w:t>
      </w:r>
    </w:p>
    <w:p w14:paraId="09000000">
      <w:pPr>
        <w:ind/>
        <w:jc w:val="center"/>
        <w:rPr>
          <w:b w:val="0"/>
        </w:rPr>
      </w:pPr>
      <w:r>
        <w:rPr>
          <w:b w:val="0"/>
          <w:color w:val="000000"/>
          <w:sz w:val="28"/>
        </w:rPr>
        <w:t>бесплатно в целях индивидуального жилищного строительства или ведения личного подсобного хозяйства</w:t>
      </w:r>
      <w:r>
        <w:rPr>
          <w:b w:val="0"/>
          <w:color w:val="000000"/>
          <w:sz w:val="28"/>
        </w:rPr>
        <w:t xml:space="preserve"> в границах Туапсинск</w:t>
      </w:r>
      <w:r>
        <w:rPr>
          <w:b w:val="0"/>
          <w:color w:val="000000"/>
          <w:sz w:val="28"/>
        </w:rPr>
        <w:t xml:space="preserve">ого муниципального округа между состоящими на учете гражданами, имеющими </w:t>
      </w:r>
    </w:p>
    <w:p w14:paraId="0A000000">
      <w:pPr>
        <w:ind/>
        <w:jc w:val="center"/>
        <w:rPr>
          <w:b w:val="0"/>
        </w:rPr>
      </w:pPr>
      <w:r>
        <w:rPr>
          <w:b w:val="0"/>
          <w:color w:val="000000"/>
          <w:sz w:val="28"/>
        </w:rPr>
        <w:t>трех и более детей»</w:t>
      </w:r>
    </w:p>
    <w:p w14:paraId="0B000000">
      <w:pPr>
        <w:ind w:hanging="900" w:left="900"/>
        <w:jc w:val="center"/>
        <w:rPr>
          <w:b w:val="1"/>
        </w:rPr>
      </w:pPr>
    </w:p>
    <w:p w14:paraId="0C000000">
      <w:pPr>
        <w:ind/>
        <w:jc w:val="center"/>
        <w:rPr>
          <w:b w:val="1"/>
        </w:rPr>
      </w:pPr>
    </w:p>
    <w:p w14:paraId="0D000000">
      <w:pPr>
        <w:ind w:firstLine="567" w:left="0"/>
        <w:jc w:val="both"/>
        <w:rPr>
          <w:color w:val="000000"/>
        </w:rPr>
      </w:pPr>
      <w:r>
        <w:t xml:space="preserve">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постановления администрации муниципального образования Туапсинский муниципальный округ </w:t>
      </w:r>
      <w:r>
        <w:t>«</w:t>
      </w:r>
      <w:r>
        <w:rPr>
          <w:b w:val="0"/>
          <w:color w:val="000000"/>
          <w:sz w:val="28"/>
        </w:rPr>
        <w:t>О</w:t>
      </w:r>
      <w:r>
        <w:rPr>
          <w:b w:val="0"/>
          <w:color w:val="000000"/>
          <w:sz w:val="28"/>
        </w:rPr>
        <w:t xml:space="preserve"> создании </w:t>
      </w:r>
      <w:r>
        <w:rPr>
          <w:b w:val="0"/>
          <w:color w:val="000000"/>
          <w:sz w:val="28"/>
        </w:rPr>
        <w:t>комиссии по распределению</w:t>
      </w:r>
      <w:r>
        <w:rPr>
          <w:b w:val="0"/>
          <w:color w:val="000000"/>
          <w:sz w:val="28"/>
        </w:rPr>
        <w:t xml:space="preserve"> </w:t>
      </w:r>
      <w:r>
        <w:rPr>
          <w:b w:val="0"/>
          <w:color w:val="000000"/>
          <w:sz w:val="28"/>
        </w:rPr>
        <w:t>земельных участков</w:t>
      </w:r>
      <w:r>
        <w:rPr>
          <w:b w:val="0"/>
          <w:color w:val="000000"/>
          <w:sz w:val="28"/>
        </w:rPr>
        <w:t>,</w:t>
      </w:r>
      <w:r>
        <w:rPr>
          <w:b w:val="0"/>
          <w:color w:val="000000"/>
          <w:sz w:val="28"/>
        </w:rPr>
        <w:t xml:space="preserve"> включенных в </w:t>
      </w:r>
      <w:r>
        <w:rPr>
          <w:b w:val="0"/>
          <w:color w:val="000000"/>
          <w:sz w:val="28"/>
        </w:rPr>
        <w:t>перечень</w:t>
      </w:r>
      <w:r>
        <w:rPr>
          <w:b w:val="0"/>
          <w:color w:val="000000"/>
          <w:sz w:val="28"/>
        </w:rPr>
        <w:t xml:space="preserve"> земельных участков, предназначенных для предоставления в собственность </w:t>
      </w:r>
      <w:r>
        <w:rPr>
          <w:b w:val="0"/>
          <w:color w:val="000000"/>
          <w:sz w:val="28"/>
        </w:rPr>
        <w:t>бесплатно в целях индивидуального жилищного строительства или ведения личного подсобного хозяйства</w:t>
      </w:r>
      <w:r>
        <w:rPr>
          <w:b w:val="0"/>
          <w:color w:val="000000"/>
          <w:sz w:val="28"/>
        </w:rPr>
        <w:t xml:space="preserve"> в границах Туапсинск</w:t>
      </w:r>
      <w:r>
        <w:rPr>
          <w:b w:val="0"/>
          <w:color w:val="000000"/>
          <w:sz w:val="28"/>
        </w:rPr>
        <w:t xml:space="preserve">ого муниципального округа между состоящими на учете гражданами, имеющими </w:t>
      </w:r>
      <w:r>
        <w:rPr>
          <w:b w:val="0"/>
          <w:color w:val="000000"/>
          <w:sz w:val="28"/>
        </w:rPr>
        <w:t>трех и более детей</w:t>
      </w:r>
      <w:r>
        <w:t>»</w:t>
      </w:r>
      <w:bookmarkStart w:id="1" w:name="_GoBack"/>
      <w:bookmarkEnd w:id="1"/>
      <w:r>
        <w:rPr>
          <w:b w:val="1"/>
        </w:rPr>
        <w:t xml:space="preserve">, </w:t>
      </w:r>
      <w:r>
        <w:t>поступивший из  управления имущественных отношений администрации Туапсинского муниципального округа установил:</w:t>
      </w:r>
    </w:p>
    <w:p w14:paraId="0E000000">
      <w:pPr>
        <w:ind w:firstLine="567" w:left="0"/>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14:paraId="0F000000">
      <w:pPr>
        <w:ind w:firstLine="567" w:left="0"/>
        <w:jc w:val="both"/>
      </w:pPr>
      <w:r>
        <w:rPr>
          <w:color w:val="000000"/>
          <w:sz w:val="28"/>
        </w:rPr>
        <w:t xml:space="preserve"> Земельным кодексом Российской Федерации, Федеральным законом от 6 октября 2003 г</w:t>
      </w:r>
      <w:r>
        <w:rPr>
          <w:color w:val="000000"/>
          <w:sz w:val="28"/>
        </w:rPr>
        <w:t>.</w:t>
      </w:r>
      <w:r>
        <w:rPr>
          <w:color w:val="000000"/>
          <w:sz w:val="28"/>
        </w:rPr>
        <w:t xml:space="preserve"> № 131-ФЗ «Об общих принципах организации местного самоуправления в Российской Федерации», </w:t>
      </w:r>
      <w:r>
        <w:rPr>
          <w:color w:val="000000"/>
          <w:sz w:val="28"/>
        </w:rPr>
        <w:t>З</w:t>
      </w:r>
      <w:r>
        <w:rPr>
          <w:color w:val="000000"/>
          <w:sz w:val="28"/>
        </w:rPr>
        <w:t>акон</w:t>
      </w:r>
      <w:r>
        <w:rPr>
          <w:color w:val="000000"/>
          <w:sz w:val="28"/>
        </w:rPr>
        <w:t>ами</w:t>
      </w:r>
      <w:r>
        <w:rPr>
          <w:color w:val="000000"/>
          <w:sz w:val="28"/>
        </w:rPr>
        <w:t xml:space="preserve"> Краснодарского края от 26 декабря 2014 г</w:t>
      </w:r>
      <w:r>
        <w:rPr>
          <w:color w:val="000000"/>
          <w:sz w:val="28"/>
        </w:rPr>
        <w:t>.</w:t>
      </w:r>
      <w:r>
        <w:rPr>
          <w:color w:val="000000"/>
          <w:sz w:val="28"/>
        </w:rPr>
        <w:t xml:space="preserve"> </w:t>
      </w:r>
      <w:r>
        <w:rPr>
          <w:color w:val="000000"/>
          <w:sz w:val="28"/>
        </w:rPr>
        <w:t xml:space="preserve">№ 3085-КЗ </w:t>
      </w:r>
      <w:r>
        <w:rPr>
          <w:color w:val="000000"/>
          <w:sz w:val="28"/>
        </w:rPr>
        <w:t>«О предоставлении гражданам, имеющим трех и более детей, в собственность бесплатно земельных участков, находящихся в государственной или муниципальной собственности»</w:t>
      </w:r>
      <w:r>
        <w:rPr>
          <w:color w:val="000000"/>
          <w:sz w:val="28"/>
        </w:rPr>
        <w:t>,</w:t>
      </w:r>
      <w:r>
        <w:rPr>
          <w:color w:val="000000"/>
          <w:sz w:val="28"/>
        </w:rPr>
        <w:t xml:space="preserve"> от 8 февраля 2024 г. № 5070-КЗ «О преобразовании поселений, входящих в состав муниципального образования Туапсинский район, путем их объединения и о наделении вновь образованного муниципального образования статусом муниципального округа», решениями Совета муниципального образования Туапсинский муниципальный округ Краснодарского края от 20 декабря 2024 г. № 117 «О правопреемстве администрации муниципального образования Туапсинский муниципальный округ Краснодарского края», </w:t>
      </w:r>
      <w:r>
        <w:rPr>
          <w:color w:val="000000"/>
          <w:sz w:val="28"/>
        </w:rPr>
        <w:t>от 20 декабря 2024</w:t>
      </w:r>
      <w:r>
        <w:rPr>
          <w:color w:val="000000"/>
          <w:sz w:val="28"/>
        </w:rPr>
        <w:t xml:space="preserve"> </w:t>
      </w:r>
      <w:r>
        <w:rPr>
          <w:color w:val="000000"/>
          <w:sz w:val="28"/>
        </w:rPr>
        <w:t>г. № 116 «Об изменении наименования исполнительно-</w:t>
      </w:r>
      <w:r>
        <w:rPr>
          <w:color w:val="000000"/>
          <w:sz w:val="28"/>
        </w:rPr>
        <w:t>р</w:t>
      </w:r>
      <w:r>
        <w:rPr>
          <w:color w:val="000000"/>
          <w:sz w:val="28"/>
        </w:rPr>
        <w:t>аспорядительного органа муниципального образования - администрации муниципального образования Туапсинский район»</w:t>
      </w:r>
      <w:r>
        <w:t>.</w:t>
      </w:r>
    </w:p>
    <w:p w14:paraId="10000000">
      <w:pPr>
        <w:ind w:firstLine="567" w:left="0"/>
        <w:jc w:val="both"/>
      </w:pPr>
      <w:r>
        <w:t xml:space="preserve">2. Проект нормативного правового акта размещен на сайте администрации </w:t>
      </w:r>
      <w:r>
        <w:t>Туапсинского муниципального округа</w:t>
      </w:r>
      <w:r>
        <w:rPr>
          <w:color w:val="000000"/>
        </w:rPr>
        <w:t xml:space="preserve"> </w:t>
      </w:r>
      <w:r>
        <w:rPr>
          <w:rStyle w:val="Style_1_ch"/>
        </w:rPr>
        <w:fldChar w:fldCharType="begin"/>
      </w:r>
      <w:r>
        <w:rPr>
          <w:rStyle w:val="Style_1_ch"/>
        </w:rPr>
        <w:instrText>HYPERLINK "http://www.tuapseregion.ru/"</w:instrText>
      </w:r>
      <w:r>
        <w:rPr>
          <w:rStyle w:val="Style_1_ch"/>
        </w:rPr>
        <w:fldChar w:fldCharType="separate"/>
      </w:r>
      <w:r>
        <w:rPr>
          <w:rStyle w:val="Style_1_ch"/>
        </w:rPr>
        <w:t>www</w:t>
      </w:r>
      <w:r>
        <w:rPr>
          <w:rStyle w:val="Style_1_ch"/>
        </w:rPr>
        <w:t>.</w:t>
      </w:r>
      <w:r>
        <w:rPr>
          <w:rStyle w:val="Style_1_ch"/>
        </w:rPr>
        <w:t>tuapseregion</w:t>
      </w:r>
      <w:r>
        <w:rPr>
          <w:rStyle w:val="Style_1_ch"/>
        </w:rPr>
        <w:t>.</w:t>
      </w:r>
      <w:r>
        <w:rPr>
          <w:rStyle w:val="Style_1_ch"/>
        </w:rPr>
        <w:t>ru</w:t>
      </w:r>
      <w:r>
        <w:rPr>
          <w:rStyle w:val="Style_1_ch"/>
        </w:rPr>
        <w:fldChar w:fldCharType="end"/>
      </w:r>
      <w:r>
        <w:rPr>
          <w:color w:val="000000"/>
        </w:rPr>
        <w:t xml:space="preserve">, в разделе «Документы», подразделе «Антикоррупционная экспертиза нормативных правовых актов (проектов)» </w:t>
      </w:r>
      <w:r>
        <w:t xml:space="preserve">для проведения независимой антикоррупционной экспертизы. </w:t>
      </w:r>
    </w:p>
    <w:p w14:paraId="11000000">
      <w:pPr>
        <w:ind w:firstLine="567" w:left="0"/>
        <w:jc w:val="both"/>
      </w:pPr>
      <w:r>
        <w:t>3. В ходе антикоррупционной экспертизы проекта нормативного правового акта коррупциогенные факторы не обнаружены.</w:t>
      </w:r>
    </w:p>
    <w:p w14:paraId="12000000">
      <w:pPr>
        <w:ind w:firstLine="567" w:left="0"/>
        <w:jc w:val="both"/>
      </w:pPr>
      <w:r>
        <w:t>4. Проект нормативного правового акта может быть рекомендован для официального принятия.</w:t>
      </w:r>
    </w:p>
    <w:p w14:paraId="13000000"/>
    <w:p w14:paraId="14000000"/>
    <w:p w14:paraId="15000000">
      <w:r>
        <w:t>Исполняющий</w:t>
      </w:r>
      <w:r>
        <w:t xml:space="preserve"> обязанности начальника</w:t>
      </w:r>
    </w:p>
    <w:p w14:paraId="16000000">
      <w:r>
        <w:t>правового управления администрации</w:t>
      </w:r>
    </w:p>
    <w:p w14:paraId="17000000">
      <w:r>
        <w:t>Туапсинского муниципального округа                                               М.А.</w:t>
      </w:r>
      <w:r>
        <w:t xml:space="preserve"> </w:t>
      </w:r>
      <w:r>
        <w:t>Синенко</w:t>
      </w:r>
    </w:p>
    <w:p w14:paraId="18000000"/>
    <w:sectPr>
      <w:pgSz w:h="16838" w:orient="portrait" w:w="11906"/>
      <w:pgMar w:bottom="1134" w:footer="709" w:gutter="0" w:header="709" w:left="1701" w:right="567"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spacing w:after="0" w:line="240" w:lineRule="auto"/>
      <w:ind/>
    </w:pPr>
    <w:rPr>
      <w:rFonts w:ascii="Times New Roman" w:hAnsi="Times New Roman"/>
      <w:sz w:val="28"/>
    </w:rPr>
  </w:style>
  <w:style w:default="1" w:styleId="Style_2_ch" w:type="character">
    <w:name w:val="Normal"/>
    <w:link w:val="Style_2"/>
    <w:rPr>
      <w:rFonts w:ascii="Times New Roman" w:hAnsi="Times New Roman"/>
      <w:sz w:val="28"/>
    </w:rPr>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Normal (Web)"/>
    <w:basedOn w:val="Style_2"/>
    <w:link w:val="Style_5_ch"/>
    <w:rPr>
      <w:sz w:val="24"/>
    </w:rPr>
  </w:style>
  <w:style w:styleId="Style_5_ch" w:type="character">
    <w:name w:val="Normal (Web)"/>
    <w:basedOn w:val="Style_2_ch"/>
    <w:link w:val="Style_5"/>
    <w:rPr>
      <w:sz w:val="24"/>
    </w:rPr>
  </w:style>
  <w:style w:styleId="Style_6" w:type="paragraph">
    <w:name w:val="toc 6"/>
    <w:next w:val="Style_2"/>
    <w:link w:val="Style_6_ch"/>
    <w:uiPriority w:val="39"/>
    <w:pPr>
      <w:ind w:firstLine="0" w:left="1000"/>
      <w:jc w:val="left"/>
    </w:pPr>
    <w:rPr>
      <w:rFonts w:ascii="XO Thames" w:hAnsi="XO Thames"/>
      <w:sz w:val="28"/>
    </w:rPr>
  </w:style>
  <w:style w:styleId="Style_6_ch" w:type="character">
    <w:name w:val="toc 6"/>
    <w:link w:val="Style_6"/>
    <w:rPr>
      <w:rFonts w:ascii="XO Thames" w:hAnsi="XO Thames"/>
      <w:sz w:val="28"/>
    </w:rPr>
  </w:style>
  <w:style w:styleId="Style_7" w:type="paragraph">
    <w:name w:val="toc 7"/>
    <w:next w:val="Style_2"/>
    <w:link w:val="Style_7_ch"/>
    <w:uiPriority w:val="39"/>
    <w:pPr>
      <w:ind w:firstLine="0" w:left="1200"/>
      <w:jc w:val="left"/>
    </w:pPr>
    <w:rPr>
      <w:rFonts w:ascii="XO Thames" w:hAnsi="XO Thames"/>
      <w:sz w:val="28"/>
    </w:rPr>
  </w:style>
  <w:style w:styleId="Style_7_ch" w:type="character">
    <w:name w:val="toc 7"/>
    <w:link w:val="Style_7"/>
    <w:rPr>
      <w:rFonts w:ascii="XO Thames" w:hAnsi="XO Thames"/>
      <w:sz w:val="28"/>
    </w:rPr>
  </w:style>
  <w:style w:styleId="Style_8" w:type="paragraph">
    <w:name w:val="Strong"/>
    <w:link w:val="Style_8_ch"/>
    <w:rPr>
      <w:rFonts w:ascii="Times New Roman" w:hAnsi="Times New Roman"/>
      <w:b w:val="1"/>
    </w:rPr>
  </w:style>
  <w:style w:styleId="Style_8_ch" w:type="character">
    <w:name w:val="Strong"/>
    <w:link w:val="Style_8"/>
    <w:rPr>
      <w:rFonts w:ascii="Times New Roman" w:hAnsi="Times New Roman"/>
      <w:b w:val="1"/>
    </w:rPr>
  </w:style>
  <w:style w:styleId="Style_9" w:type="paragraph">
    <w:name w:val="Endnote"/>
    <w:link w:val="Style_9_ch"/>
    <w:pPr>
      <w:ind w:firstLine="851" w:left="0"/>
      <w:jc w:val="both"/>
    </w:pPr>
    <w:rPr>
      <w:rFonts w:ascii="XO Thames" w:hAnsi="XO Thames"/>
      <w:sz w:val="22"/>
    </w:rPr>
  </w:style>
  <w:style w:styleId="Style_9_ch" w:type="character">
    <w:name w:val="Endnote"/>
    <w:link w:val="Style_9"/>
    <w:rPr>
      <w:rFonts w:ascii="XO Thames" w:hAnsi="XO Thames"/>
      <w:sz w:val="22"/>
    </w:rPr>
  </w:style>
  <w:style w:styleId="Style_10" w:type="paragraph">
    <w:name w:val="heading 3"/>
    <w:next w:val="Style_2"/>
    <w:link w:val="Style_10_ch"/>
    <w:uiPriority w:val="9"/>
    <w:qFormat/>
    <w:pPr>
      <w:spacing w:after="120" w:before="120"/>
      <w:ind/>
      <w:jc w:val="both"/>
      <w:outlineLvl w:val="2"/>
    </w:pPr>
    <w:rPr>
      <w:rFonts w:ascii="XO Thames" w:hAnsi="XO Thames"/>
      <w:b w:val="1"/>
      <w:sz w:val="26"/>
    </w:rPr>
  </w:style>
  <w:style w:styleId="Style_10_ch" w:type="character">
    <w:name w:val="heading 3"/>
    <w:link w:val="Style_10"/>
    <w:rPr>
      <w:rFonts w:ascii="XO Thames" w:hAnsi="XO Thames"/>
      <w:b w:val="1"/>
      <w:sz w:val="26"/>
    </w:rPr>
  </w:style>
  <w:style w:styleId="Style_11" w:type="paragraph">
    <w:name w:val="toc 3"/>
    <w:next w:val="Style_2"/>
    <w:link w:val="Style_11_ch"/>
    <w:uiPriority w:val="39"/>
    <w:pPr>
      <w:ind w:firstLine="0" w:left="400"/>
      <w:jc w:val="left"/>
    </w:pPr>
    <w:rPr>
      <w:rFonts w:ascii="XO Thames" w:hAnsi="XO Thames"/>
      <w:sz w:val="28"/>
    </w:rPr>
  </w:style>
  <w:style w:styleId="Style_11_ch" w:type="character">
    <w:name w:val="toc 3"/>
    <w:link w:val="Style_11"/>
    <w:rPr>
      <w:rFonts w:ascii="XO Thames" w:hAnsi="XO Thames"/>
      <w:sz w:val="28"/>
    </w:rPr>
  </w:style>
  <w:style w:styleId="Style_12" w:type="paragraph">
    <w:name w:val="Balloon Text"/>
    <w:basedOn w:val="Style_2"/>
    <w:link w:val="Style_12_ch"/>
    <w:rPr>
      <w:rFonts w:ascii="Tahoma" w:hAnsi="Tahoma"/>
      <w:sz w:val="16"/>
    </w:rPr>
  </w:style>
  <w:style w:styleId="Style_12_ch" w:type="character">
    <w:name w:val="Balloon Text"/>
    <w:basedOn w:val="Style_2_ch"/>
    <w:link w:val="Style_12"/>
    <w:rPr>
      <w:rFonts w:ascii="Tahoma" w:hAnsi="Tahoma"/>
      <w:sz w:val="16"/>
    </w:rPr>
  </w:style>
  <w:style w:styleId="Style_13" w:type="paragraph">
    <w:name w:val="heading 5"/>
    <w:next w:val="Style_2"/>
    <w:link w:val="Style_13_ch"/>
    <w:uiPriority w:val="9"/>
    <w:qFormat/>
    <w:pPr>
      <w:spacing w:after="120" w:before="120"/>
      <w:ind/>
      <w:jc w:val="both"/>
      <w:outlineLvl w:val="4"/>
    </w:pPr>
    <w:rPr>
      <w:rFonts w:ascii="XO Thames" w:hAnsi="XO Thames"/>
      <w:b w:val="1"/>
      <w:sz w:val="22"/>
    </w:rPr>
  </w:style>
  <w:style w:styleId="Style_13_ch" w:type="character">
    <w:name w:val="heading 5"/>
    <w:link w:val="Style_13"/>
    <w:rPr>
      <w:rFonts w:ascii="XO Thames" w:hAnsi="XO Thames"/>
      <w:b w:val="1"/>
      <w:sz w:val="22"/>
    </w:rPr>
  </w:style>
  <w:style w:styleId="Style_14" w:type="paragraph">
    <w:name w:val="heading 1"/>
    <w:next w:val="Style_2"/>
    <w:link w:val="Style_14_ch"/>
    <w:uiPriority w:val="9"/>
    <w:qFormat/>
    <w:pPr>
      <w:spacing w:after="120" w:before="120"/>
      <w:ind/>
      <w:jc w:val="both"/>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1" w:type="paragraph">
    <w:name w:val="Hyperlink"/>
    <w:basedOn w:val="Style_15"/>
    <w:link w:val="Style_1_ch"/>
    <w:rPr>
      <w:color w:val="0000FF"/>
      <w:u w:val="single"/>
    </w:rPr>
  </w:style>
  <w:style w:styleId="Style_1_ch" w:type="character">
    <w:name w:val="Hyperlink"/>
    <w:basedOn w:val="Style_15_ch"/>
    <w:link w:val="Style_1"/>
    <w:rPr>
      <w:color w:val="0000FF"/>
      <w:u w:val="single"/>
    </w:rPr>
  </w:style>
  <w:style w:styleId="Style_16" w:type="paragraph">
    <w:name w:val="Footnote"/>
    <w:link w:val="Style_16_ch"/>
    <w:pPr>
      <w:ind w:firstLine="851" w:left="0"/>
      <w:jc w:val="both"/>
    </w:pPr>
    <w:rPr>
      <w:rFonts w:ascii="XO Thames" w:hAnsi="XO Thames"/>
      <w:sz w:val="22"/>
    </w:rPr>
  </w:style>
  <w:style w:styleId="Style_16_ch" w:type="character">
    <w:name w:val="Footnote"/>
    <w:link w:val="Style_16"/>
    <w:rPr>
      <w:rFonts w:ascii="XO Thames" w:hAnsi="XO Thames"/>
      <w:sz w:val="22"/>
    </w:rPr>
  </w:style>
  <w:style w:styleId="Style_17" w:type="paragraph">
    <w:name w:val="toc 1"/>
    <w:next w:val="Style_2"/>
    <w:link w:val="Style_17_ch"/>
    <w:uiPriority w:val="39"/>
    <w:pPr>
      <w:ind w:firstLine="0" w:left="0"/>
      <w:jc w:val="left"/>
    </w:pPr>
    <w:rPr>
      <w:rFonts w:ascii="XO Thames" w:hAnsi="XO Thames"/>
      <w:b w:val="1"/>
      <w:sz w:val="28"/>
    </w:rPr>
  </w:style>
  <w:style w:styleId="Style_17_ch" w:type="character">
    <w:name w:val="toc 1"/>
    <w:link w:val="Style_17"/>
    <w:rPr>
      <w:rFonts w:ascii="XO Thames" w:hAnsi="XO Thames"/>
      <w:b w:val="1"/>
      <w:sz w:val="28"/>
    </w:rPr>
  </w:style>
  <w:style w:styleId="Style_18" w:type="paragraph">
    <w:name w:val="Header and Footer"/>
    <w:link w:val="Style_18_ch"/>
    <w:pPr>
      <w:spacing w:line="240" w:lineRule="auto"/>
      <w:ind/>
      <w:jc w:val="both"/>
    </w:pPr>
    <w:rPr>
      <w:rFonts w:ascii="XO Thames" w:hAnsi="XO Thames"/>
      <w:sz w:val="28"/>
    </w:rPr>
  </w:style>
  <w:style w:styleId="Style_18_ch" w:type="character">
    <w:name w:val="Header and Footer"/>
    <w:link w:val="Style_18"/>
    <w:rPr>
      <w:rFonts w:ascii="XO Thames" w:hAnsi="XO Thames"/>
      <w:sz w:val="28"/>
    </w:rPr>
  </w:style>
  <w:style w:styleId="Style_19" w:type="paragraph">
    <w:name w:val="toc 9"/>
    <w:next w:val="Style_2"/>
    <w:link w:val="Style_19_ch"/>
    <w:uiPriority w:val="39"/>
    <w:pPr>
      <w:ind w:firstLine="0" w:left="1600"/>
      <w:jc w:val="left"/>
    </w:pPr>
    <w:rPr>
      <w:rFonts w:ascii="XO Thames" w:hAnsi="XO Thames"/>
      <w:sz w:val="28"/>
    </w:rPr>
  </w:style>
  <w:style w:styleId="Style_19_ch" w:type="character">
    <w:name w:val="toc 9"/>
    <w:link w:val="Style_19"/>
    <w:rPr>
      <w:rFonts w:ascii="XO Thames" w:hAnsi="XO Thames"/>
      <w:sz w:val="28"/>
    </w:rPr>
  </w:style>
  <w:style w:styleId="Style_15" w:type="paragraph">
    <w:name w:val="Default Paragraph Font"/>
    <w:link w:val="Style_15_ch"/>
  </w:style>
  <w:style w:styleId="Style_15_ch" w:type="character">
    <w:name w:val="Default Paragraph Font"/>
    <w:link w:val="Style_15"/>
  </w:style>
  <w:style w:styleId="Style_20" w:type="paragraph">
    <w:name w:val="toc 8"/>
    <w:next w:val="Style_2"/>
    <w:link w:val="Style_20_ch"/>
    <w:uiPriority w:val="39"/>
    <w:pPr>
      <w:ind w:firstLine="0" w:left="1400"/>
      <w:jc w:val="left"/>
    </w:pPr>
    <w:rPr>
      <w:rFonts w:ascii="XO Thames" w:hAnsi="XO Thames"/>
      <w:sz w:val="28"/>
    </w:rPr>
  </w:style>
  <w:style w:styleId="Style_20_ch" w:type="character">
    <w:name w:val="toc 8"/>
    <w:link w:val="Style_20"/>
    <w:rPr>
      <w:rFonts w:ascii="XO Thames" w:hAnsi="XO Thames"/>
      <w:sz w:val="28"/>
    </w:rPr>
  </w:style>
  <w:style w:styleId="Style_21" w:type="paragraph">
    <w:name w:val="ConsPlusNormal"/>
    <w:link w:val="Style_21_ch"/>
    <w:pPr>
      <w:widowControl w:val="0"/>
      <w:spacing w:after="0" w:line="240" w:lineRule="auto"/>
      <w:ind/>
    </w:pPr>
    <w:rPr>
      <w:rFonts w:ascii="Calibri" w:hAnsi="Calibri"/>
    </w:rPr>
  </w:style>
  <w:style w:styleId="Style_21_ch" w:type="character">
    <w:name w:val="ConsPlusNormal"/>
    <w:link w:val="Style_21"/>
    <w:rPr>
      <w:rFonts w:ascii="Calibri" w:hAnsi="Calibri"/>
    </w:rPr>
  </w:style>
  <w:style w:styleId="Style_22" w:type="paragraph">
    <w:name w:val="toc 5"/>
    <w:next w:val="Style_2"/>
    <w:link w:val="Style_22_ch"/>
    <w:uiPriority w:val="39"/>
    <w:pPr>
      <w:ind w:firstLine="0" w:left="800"/>
      <w:jc w:val="left"/>
    </w:pPr>
    <w:rPr>
      <w:rFonts w:ascii="XO Thames" w:hAnsi="XO Thames"/>
      <w:sz w:val="28"/>
    </w:rPr>
  </w:style>
  <w:style w:styleId="Style_22_ch" w:type="character">
    <w:name w:val="toc 5"/>
    <w:link w:val="Style_22"/>
    <w:rPr>
      <w:rFonts w:ascii="XO Thames" w:hAnsi="XO Thames"/>
      <w:sz w:val="28"/>
    </w:rPr>
  </w:style>
  <w:style w:styleId="Style_23" w:type="paragraph">
    <w:name w:val="Subtitle"/>
    <w:next w:val="Style_2"/>
    <w:link w:val="Style_23_ch"/>
    <w:uiPriority w:val="11"/>
    <w:qFormat/>
    <w:pPr>
      <w:ind/>
      <w:jc w:val="both"/>
    </w:pPr>
    <w:rPr>
      <w:rFonts w:ascii="XO Thames" w:hAnsi="XO Thames"/>
      <w:i w:val="1"/>
      <w:sz w:val="24"/>
    </w:rPr>
  </w:style>
  <w:style w:styleId="Style_23_ch" w:type="character">
    <w:name w:val="Subtitle"/>
    <w:link w:val="Style_23"/>
    <w:rPr>
      <w:rFonts w:ascii="XO Thames" w:hAnsi="XO Thames"/>
      <w:i w:val="1"/>
      <w:sz w:val="24"/>
    </w:rPr>
  </w:style>
  <w:style w:styleId="Style_24" w:type="paragraph">
    <w:name w:val="Title"/>
    <w:next w:val="Style_2"/>
    <w:link w:val="Style_24_ch"/>
    <w:uiPriority w:val="10"/>
    <w:qFormat/>
    <w:pPr>
      <w:spacing w:after="567" w:before="567"/>
      <w:ind/>
      <w:jc w:val="center"/>
    </w:pPr>
    <w:rPr>
      <w:rFonts w:ascii="XO Thames" w:hAnsi="XO Thames"/>
      <w:b w:val="1"/>
      <w:caps w:val="1"/>
      <w:sz w:val="40"/>
    </w:rPr>
  </w:style>
  <w:style w:styleId="Style_24_ch" w:type="character">
    <w:name w:val="Title"/>
    <w:link w:val="Style_24"/>
    <w:rPr>
      <w:rFonts w:ascii="XO Thames" w:hAnsi="XO Thames"/>
      <w:b w:val="1"/>
      <w:caps w:val="1"/>
      <w:sz w:val="40"/>
    </w:rPr>
  </w:style>
  <w:style w:styleId="Style_25" w:type="paragraph">
    <w:name w:val="heading 4"/>
    <w:next w:val="Style_2"/>
    <w:link w:val="Style_25_ch"/>
    <w:uiPriority w:val="9"/>
    <w:qFormat/>
    <w:pPr>
      <w:spacing w:after="120" w:before="120"/>
      <w:ind/>
      <w:jc w:val="both"/>
      <w:outlineLvl w:val="3"/>
    </w:pPr>
    <w:rPr>
      <w:rFonts w:ascii="XO Thames" w:hAnsi="XO Thames"/>
      <w:b w:val="1"/>
      <w:sz w:val="24"/>
    </w:rPr>
  </w:style>
  <w:style w:styleId="Style_25_ch" w:type="character">
    <w:name w:val="heading 4"/>
    <w:link w:val="Style_25"/>
    <w:rPr>
      <w:rFonts w:ascii="XO Thames" w:hAnsi="XO Thames"/>
      <w:b w:val="1"/>
      <w:sz w:val="24"/>
    </w:rPr>
  </w:style>
  <w:style w:styleId="Style_26" w:type="paragraph">
    <w:name w:val="heading 2"/>
    <w:next w:val="Style_2"/>
    <w:link w:val="Style_26_ch"/>
    <w:uiPriority w:val="9"/>
    <w:qFormat/>
    <w:pPr>
      <w:spacing w:after="120" w:before="120"/>
      <w:ind/>
      <w:jc w:val="both"/>
      <w:outlineLvl w:val="1"/>
    </w:pPr>
    <w:rPr>
      <w:rFonts w:ascii="XO Thames" w:hAnsi="XO Thames"/>
      <w:b w:val="1"/>
      <w:sz w:val="28"/>
    </w:rPr>
  </w:style>
  <w:style w:styleId="Style_26_ch" w:type="character">
    <w:name w:val="heading 2"/>
    <w:link w:val="Style_26"/>
    <w:rPr>
      <w:rFonts w:ascii="XO Thames" w:hAnsi="XO Thames"/>
      <w:b w:val="1"/>
      <w:sz w:val="28"/>
    </w:rPr>
  </w:style>
  <w:style w:default="1" w:styleId="Style_27" w:type="table">
    <w:name w:val="Normal Table"/>
    <w:tblPr>
      <w:tblInd w:type="dxa" w:w="0"/>
      <w:tblCellMar>
        <w:top w:type="dxa" w:w="0"/>
        <w:left w:type="dxa" w:w="108"/>
        <w:bottom w:type="dxa" w:w="0"/>
        <w:right w:type="dxa" w:w="108"/>
      </w:tblCellMar>
    </w:tblPr>
  </w:style>
  <w:style w:styleId="Style_28" w:type="table">
    <w:name w:val="Table Grid"/>
    <w:basedOn w:val="Style_27"/>
    <w:pPr>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MyOffice-CoreFramework-Linux/32-1208.815.9166.836.1@c028b4579ab889516ede6e689f46f6dad43bf900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2025-03-04T11:21:42Z</dcterms:modified>
</cp:coreProperties>
</file>