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CF515D">
        <w:t xml:space="preserve">курортов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CF515D" w:rsidP="00644A32">
      <w:pPr>
        <w:autoSpaceDE w:val="0"/>
        <w:autoSpaceDN w:val="0"/>
        <w:adjustRightInd w:val="0"/>
        <w:ind w:left="4961"/>
      </w:pPr>
      <w:proofErr w:type="spellStart"/>
      <w:r>
        <w:t>Димитриади</w:t>
      </w:r>
      <w:proofErr w:type="spellEnd"/>
      <w:r>
        <w:t xml:space="preserve"> Е.В.</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r>
        <w:rPr>
          <w:b/>
        </w:rPr>
        <w:t>Заключение</w:t>
      </w:r>
    </w:p>
    <w:p w:rsidR="00CF515D" w:rsidRPr="00CF515D" w:rsidRDefault="00644A32" w:rsidP="00CF515D">
      <w:pPr>
        <w:spacing w:line="240" w:lineRule="atLeast"/>
        <w:ind w:right="-1"/>
        <w:jc w:val="center"/>
        <w:rPr>
          <w:rFonts w:eastAsia="Calibri"/>
          <w:lang w:eastAsia="en-US"/>
        </w:rPr>
      </w:pPr>
      <w:r>
        <w:t xml:space="preserve">по результатам экспертизы проекта постановления администрации Туапсинского муниципального округа </w:t>
      </w:r>
      <w:r w:rsidR="00CF515D" w:rsidRPr="00CF515D">
        <w:t>«</w:t>
      </w:r>
      <w:r w:rsidR="00CF515D" w:rsidRPr="00CF515D">
        <w:rPr>
          <w:rFonts w:eastAsia="Calibri"/>
          <w:lang w:eastAsia="en-US"/>
        </w:rPr>
        <w:t>Об утверждении Правил использования водных объектов для рекреационных целей  на территории Туапсинского муниципального округа</w:t>
      </w:r>
      <w:r w:rsidR="00CF515D" w:rsidRPr="00CF515D">
        <w:rPr>
          <w:rFonts w:eastAsia="Calibri"/>
          <w:lang w:eastAsia="en-US"/>
        </w:rPr>
        <w:t>»</w:t>
      </w:r>
    </w:p>
    <w:p w:rsidR="00CF515D" w:rsidRPr="00CF515D" w:rsidRDefault="00CF515D" w:rsidP="00CF515D">
      <w:pPr>
        <w:spacing w:line="240" w:lineRule="atLeast"/>
        <w:ind w:right="-1"/>
        <w:jc w:val="center"/>
        <w:rPr>
          <w:rFonts w:eastAsia="Calibri"/>
          <w:b/>
          <w:lang w:eastAsia="en-US"/>
        </w:rP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CF515D" w:rsidRPr="00CF515D">
        <w:t>«Об утверждении Правил использования водных объектов для рекреационных целей  на территории Туапсинского муниципального округа»</w:t>
      </w:r>
      <w:r>
        <w:rPr>
          <w:b/>
        </w:rPr>
        <w:t>,</w:t>
      </w:r>
      <w:proofErr w:type="gramEnd"/>
      <w:r>
        <w:rPr>
          <w:b/>
        </w:rPr>
        <w:t xml:space="preserve"> </w:t>
      </w:r>
      <w:proofErr w:type="gramStart"/>
      <w:r>
        <w:t>поступивший</w:t>
      </w:r>
      <w:proofErr w:type="gramEnd"/>
      <w:r>
        <w:t xml:space="preserve"> из </w:t>
      </w:r>
      <w:r w:rsidR="00CF515D">
        <w:t>управления курортов</w:t>
      </w:r>
      <w:r>
        <w:t xml:space="preserve">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CF515D" w:rsidP="00A652E6">
      <w:pPr>
        <w:ind w:firstLine="567"/>
        <w:jc w:val="both"/>
      </w:pPr>
      <w:r w:rsidRPr="00CF515D">
        <w:t>Водным кодексом Российской Федерации, Федеральным законом от 25 декабря 2023 г. № 657-ФЗ «О внесении изменений в Водный кодекс Российской Федерации и отдельные законодательные акты Российской Федерации», Федеральным законом от 6 октября 2003 г. № 131-ФЗ «Об общих принципах организации местного самоуправления в Российской Федерации</w:t>
      </w:r>
      <w:r w:rsidR="00A652E6" w:rsidRPr="00A652E6">
        <w:t>»</w:t>
      </w:r>
      <w:r w:rsidR="00AA39C4">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w:t>
      </w:r>
      <w:bookmarkStart w:id="0" w:name="_GoBack"/>
      <w:bookmarkEnd w:id="0"/>
      <w:r>
        <w:rPr>
          <w:rFonts w:eastAsia="Calibri"/>
          <w:lang w:eastAsia="ar-SA"/>
        </w:rPr>
        <w:t>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806D9"/>
    <w:rsid w:val="00BA5305"/>
    <w:rsid w:val="00C77F24"/>
    <w:rsid w:val="00CB418F"/>
    <w:rsid w:val="00CF515D"/>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54089064">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2025-02-18T14:24:00Z</cp:lastPrinted>
  <dcterms:created xsi:type="dcterms:W3CDTF">2025-02-18T14:25:00Z</dcterms:created>
  <dcterms:modified xsi:type="dcterms:W3CDTF">2025-02-18T14:25:00Z</dcterms:modified>
</cp:coreProperties>
</file>