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20" w:val="left"/>
        </w:tabs>
        <w:ind w:firstLine="0" w:left="5103"/>
      </w:pPr>
      <w:r>
        <w:t>И.о</w:t>
      </w:r>
      <w:r>
        <w:t>. начальника</w:t>
      </w:r>
      <w:r>
        <w:t xml:space="preserve"> </w:t>
      </w:r>
      <w:r>
        <w:t xml:space="preserve">управления </w:t>
      </w:r>
      <w:r>
        <w:t>ЖКХ И ТЭК</w:t>
      </w:r>
      <w:r>
        <w:t xml:space="preserve"> </w:t>
      </w:r>
      <w:r>
        <w:t>администрации муниципального</w:t>
      </w:r>
    </w:p>
    <w:p w14:paraId="02000000">
      <w:pPr>
        <w:tabs>
          <w:tab w:leader="none" w:pos="3420" w:val="left"/>
        </w:tabs>
        <w:ind w:firstLine="0" w:left="5103"/>
      </w:pPr>
      <w:r>
        <w:t xml:space="preserve">образования Туапсинский </w:t>
      </w:r>
      <w:r>
        <w:t>муниципальный округ Краснодарского края</w:t>
      </w:r>
    </w:p>
    <w:p w14:paraId="03000000">
      <w:pPr>
        <w:pStyle w:val="Style_1"/>
        <w:spacing w:after="0" w:before="0"/>
        <w:ind w:firstLine="0" w:left="5103"/>
        <w:jc w:val="left"/>
        <w:rPr>
          <w:sz w:val="28"/>
        </w:rPr>
      </w:pPr>
    </w:p>
    <w:p w14:paraId="04000000">
      <w:pPr>
        <w:pStyle w:val="Style_1"/>
        <w:spacing w:after="0" w:before="0"/>
        <w:ind w:firstLine="0" w:left="5103"/>
        <w:jc w:val="left"/>
        <w:rPr>
          <w:sz w:val="28"/>
        </w:rPr>
      </w:pPr>
      <w:r>
        <w:rPr>
          <w:sz w:val="28"/>
        </w:rPr>
        <w:t>Чернышову</w:t>
      </w:r>
      <w:r>
        <w:rPr>
          <w:sz w:val="28"/>
        </w:rPr>
        <w:t xml:space="preserve"> Е.А</w:t>
      </w:r>
      <w:r>
        <w:rPr>
          <w:sz w:val="28"/>
        </w:rPr>
        <w:t>.</w:t>
      </w:r>
    </w:p>
    <w:p w14:paraId="05000000">
      <w:pPr>
        <w:pStyle w:val="Style_1"/>
        <w:spacing w:after="0" w:before="0"/>
        <w:ind/>
        <w:jc w:val="center"/>
        <w:rPr>
          <w:sz w:val="28"/>
        </w:rPr>
      </w:pPr>
    </w:p>
    <w:p w14:paraId="06000000">
      <w:pPr>
        <w:pStyle w:val="Style_1"/>
        <w:spacing w:after="0" w:before="0"/>
        <w:ind/>
        <w:jc w:val="center"/>
        <w:rPr>
          <w:sz w:val="28"/>
        </w:rPr>
      </w:pPr>
    </w:p>
    <w:p w14:paraId="0700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08000000">
      <w:pPr>
        <w:ind/>
        <w:jc w:val="center"/>
        <w:rPr>
          <w:b w:val="1"/>
        </w:rPr>
      </w:pPr>
      <w:r>
        <w:rPr>
          <w:b w:val="1"/>
        </w:rPr>
        <w:t>Заключение</w:t>
      </w:r>
    </w:p>
    <w:p w14:paraId="09000000">
      <w:pPr>
        <w:ind/>
        <w:jc w:val="center"/>
      </w:pPr>
      <w:r>
        <w:t xml:space="preserve">по результатам экспертизы проекта </w:t>
      </w:r>
      <w:r>
        <w:t>постановления администрации</w:t>
      </w:r>
      <w:r>
        <w:t xml:space="preserve"> </w:t>
      </w:r>
      <w:r>
        <w:t>Т</w:t>
      </w:r>
      <w:r>
        <w:t xml:space="preserve">уапсинского муниципального </w:t>
      </w:r>
      <w:r>
        <w:t>округа</w:t>
      </w:r>
      <w:r>
        <w:t xml:space="preserve"> </w:t>
      </w:r>
      <w:r>
        <w:t>«</w:t>
      </w:r>
      <w:r>
        <w:t xml:space="preserve">Об утверждении Порядка </w:t>
      </w:r>
    </w:p>
    <w:p w14:paraId="0A000000">
      <w:pPr>
        <w:ind/>
        <w:jc w:val="center"/>
      </w:pPr>
      <w:r>
        <w:t>предоставления из бюджета муниципального образования Туапсинский муниципальный округ Краснодарского края субсидии муниципальным унитарным предприятиям Туапсинского муниципального округа на возмещение расходов в целях погашения задолженности перед поставщиками коммунальных услуг»</w:t>
      </w:r>
    </w:p>
    <w:p w14:paraId="0B000000">
      <w:pPr>
        <w:ind/>
        <w:jc w:val="center"/>
      </w:pPr>
    </w:p>
    <w:p w14:paraId="0C000000">
      <w:pPr>
        <w:ind/>
        <w:jc w:val="center"/>
      </w:pPr>
    </w:p>
    <w:p w14:paraId="0D000000">
      <w:pPr>
        <w:ind w:firstLine="708" w:left="0"/>
        <w:jc w:val="both"/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>
        <w:t xml:space="preserve">, рассмотрев проект </w:t>
      </w:r>
      <w:r>
        <w:t>постановления администрации</w:t>
      </w:r>
      <w:r>
        <w:t xml:space="preserve"> </w:t>
      </w:r>
      <w:r>
        <w:t>Туапсинского муниципального округа</w:t>
      </w:r>
      <w:r>
        <w:t xml:space="preserve"> </w:t>
      </w:r>
      <w:r>
        <w:t>«</w:t>
      </w:r>
      <w:r>
        <w:t>Об утверждении Порядка предоставления из бюджета муниципального образования Туапсинский муниципальный округ Краснодарского края субсидии муниципальным унитарным предприятиям Туапсинского муниципального округа на возмещение расходов в</w:t>
      </w:r>
      <w:r>
        <w:t xml:space="preserve"> </w:t>
      </w:r>
      <w:r>
        <w:t>целях</w:t>
      </w:r>
      <w:r>
        <w:t xml:space="preserve"> погашения задолженности перед поставщиками коммунальных услуг»</w:t>
      </w:r>
      <w:r>
        <w:t>,</w:t>
      </w:r>
      <w:r>
        <w:rPr>
          <w:rStyle w:val="Style_2_ch"/>
        </w:rPr>
        <w:t xml:space="preserve"> </w:t>
      </w:r>
      <w:r>
        <w:t xml:space="preserve">поступивший  из  </w:t>
      </w:r>
      <w:r>
        <w:t>управления</w:t>
      </w:r>
      <w:r>
        <w:t xml:space="preserve"> </w:t>
      </w:r>
      <w:r>
        <w:t>ЖКХ и ТЭК</w:t>
      </w:r>
      <w:r>
        <w:t xml:space="preserve"> </w:t>
      </w:r>
      <w:r>
        <w:t xml:space="preserve">администрации  </w:t>
      </w:r>
      <w:r>
        <w:t>Туапсинского муниципального округа</w:t>
      </w:r>
      <w:r>
        <w:t xml:space="preserve">  установил:</w:t>
      </w:r>
    </w:p>
    <w:p w14:paraId="0E000000">
      <w:pPr>
        <w:ind w:firstLine="708" w:left="0"/>
        <w:jc w:val="both"/>
      </w:pPr>
      <w:r>
        <w:t xml:space="preserve">1. </w:t>
      </w:r>
      <w: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14:paraId="0F000000">
      <w:pPr>
        <w:ind w:firstLine="708" w:left="0"/>
        <w:jc w:val="both"/>
      </w:pPr>
      <w:r>
        <w:rPr>
          <w:rFonts w:ascii="Times New Roman" w:hAnsi="Times New Roman"/>
          <w:color w:val="000000"/>
          <w:sz w:val="28"/>
        </w:rPr>
        <w:t>Федеральным</w:t>
      </w:r>
      <w:r>
        <w:rPr>
          <w:rFonts w:ascii="Times New Roman" w:hAnsi="Times New Roman"/>
          <w:color w:val="000000"/>
          <w:sz w:val="28"/>
        </w:rPr>
        <w:t>и законами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 xml:space="preserve">6 октября 2003 г. № 131-ФЗ «Об общих принципах организации местного самоуправления в Российской Федерации», от </w:t>
      </w:r>
      <w:r>
        <w:rPr>
          <w:rFonts w:ascii="Times New Roman" w:hAnsi="Times New Roman"/>
          <w:color w:val="000000"/>
          <w:sz w:val="28"/>
        </w:rPr>
        <w:t>20 марта 2025 г. № 33-ФЗ «</w:t>
      </w:r>
      <w:r>
        <w:rPr>
          <w:rFonts w:ascii="Times New Roman" w:hAnsi="Times New Roman"/>
          <w:color w:val="000000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постановлением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Правительства Российской Федерации от 25 октября 2023 г. № 1782 «Об утверждении общих требований к нормативным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/>
          <w:color w:val="000000"/>
          <w:sz w:val="28"/>
        </w:rPr>
        <w:t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Уставом Туапсинск</w:t>
      </w:r>
      <w:r>
        <w:rPr>
          <w:rFonts w:ascii="Times New Roman" w:hAnsi="Times New Roman"/>
          <w:color w:val="000000"/>
          <w:sz w:val="28"/>
        </w:rPr>
        <w:t>ого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муниципальн</w:t>
      </w:r>
      <w:r>
        <w:rPr>
          <w:rFonts w:ascii="Times New Roman" w:hAnsi="Times New Roman"/>
          <w:color w:val="000000"/>
          <w:sz w:val="28"/>
        </w:rPr>
        <w:t>ого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округ</w:t>
      </w:r>
      <w:r>
        <w:rPr>
          <w:rFonts w:ascii="Times New Roman" w:hAnsi="Times New Roman"/>
          <w:color w:val="000000"/>
          <w:sz w:val="28"/>
        </w:rPr>
        <w:t>а</w:t>
      </w:r>
    </w:p>
    <w:p w14:paraId="10000000">
      <w:pPr>
        <w:ind w:firstLine="567" w:left="0" w:right="140"/>
        <w:jc w:val="both"/>
      </w:pPr>
      <w:r>
        <w:t>2</w:t>
      </w:r>
      <w:r>
        <w:t xml:space="preserve">.Проект нормативного правового акта размещен на сайте администрации </w:t>
      </w:r>
      <w:r>
        <w:t>Туапсинского муниципального округа</w:t>
      </w:r>
      <w:r>
        <w:rPr>
          <w:color w:val="000000"/>
        </w:rPr>
        <w:t xml:space="preserve"> </w:t>
      </w:r>
      <w:r>
        <w:rPr>
          <w:u w:val="single"/>
        </w:rPr>
        <w:fldChar w:fldCharType="begin"/>
      </w:r>
      <w:r>
        <w:rPr>
          <w:u w:val="single"/>
        </w:rPr>
        <w:instrText>HYPERLINK "http://www.tuapseregion.ru/"</w:instrText>
      </w:r>
      <w:r>
        <w:rPr>
          <w:u w:val="single"/>
        </w:rPr>
        <w:fldChar w:fldCharType="separate"/>
      </w:r>
      <w:r>
        <w:rPr>
          <w:u w:val="single"/>
        </w:rPr>
        <w:t>www</w:t>
      </w:r>
      <w:r>
        <w:rPr>
          <w:u w:val="single"/>
        </w:rPr>
        <w:t>.</w:t>
      </w:r>
      <w:r>
        <w:rPr>
          <w:u w:val="single"/>
        </w:rPr>
        <w:t>tuapseregion</w:t>
      </w:r>
      <w:r>
        <w:rPr>
          <w:u w:val="single"/>
        </w:rPr>
        <w:t>.</w:t>
      </w:r>
      <w:r>
        <w:rPr>
          <w:u w:val="single"/>
        </w:rPr>
        <w:t>ru</w:t>
      </w:r>
      <w:r>
        <w:rPr>
          <w:u w:val="single"/>
        </w:rPr>
        <w:fldChar w:fldCharType="end"/>
      </w:r>
      <w:r>
        <w:t xml:space="preserve">, </w:t>
      </w:r>
      <w:r>
        <w:rPr>
          <w:color w:val="000000"/>
        </w:rPr>
        <w:t xml:space="preserve">в разделе «Документы», подразделе «Антикоррупционная экспертиза», </w:t>
      </w:r>
      <w:r>
        <w:rPr>
          <w:color w:val="000000"/>
        </w:rPr>
        <w:t>«</w:t>
      </w:r>
      <w:r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>
        <w:rPr>
          <w:color w:val="000000"/>
        </w:rPr>
        <w:t xml:space="preserve"> </w:t>
      </w:r>
      <w:r>
        <w:t>для проведения независим</w:t>
      </w:r>
      <w:r>
        <w:t>ой антикоррупционной экспертизы».</w:t>
      </w:r>
      <w:r>
        <w:t xml:space="preserve"> </w:t>
      </w:r>
    </w:p>
    <w:p w14:paraId="11000000">
      <w:pPr>
        <w:ind w:firstLine="567" w:left="0"/>
        <w:jc w:val="both"/>
      </w:pPr>
      <w:r>
        <w:t>3</w:t>
      </w:r>
      <w:r>
        <w:t>. В ходе антикоррупционной экспертизы проекта нормативного правового акта коррупциогенные факторы не обнаружены.</w:t>
      </w:r>
    </w:p>
    <w:p w14:paraId="12000000">
      <w:pPr>
        <w:ind w:firstLine="567" w:left="0"/>
        <w:jc w:val="both"/>
      </w:pPr>
      <w:r>
        <w:t xml:space="preserve"> </w:t>
      </w:r>
      <w:r>
        <w:t>4</w:t>
      </w:r>
      <w:bookmarkStart w:id="1" w:name="_GoBack"/>
      <w:bookmarkEnd w:id="1"/>
      <w:r>
        <w:t>.  Проект нормативного правового акта может быть рекомендован для официального принятия.</w:t>
      </w:r>
    </w:p>
    <w:p w14:paraId="13000000">
      <w:pPr>
        <w:ind/>
        <w:jc w:val="both"/>
      </w:pPr>
    </w:p>
    <w:p w14:paraId="14000000">
      <w:pPr>
        <w:ind/>
        <w:jc w:val="both"/>
      </w:pPr>
    </w:p>
    <w:p w14:paraId="15000000">
      <w:pPr>
        <w:ind/>
        <w:jc w:val="both"/>
      </w:pPr>
      <w:r>
        <w:t xml:space="preserve">Начальник </w:t>
      </w:r>
      <w:r>
        <w:t>правового управления</w:t>
      </w:r>
      <w:r>
        <w:t xml:space="preserve"> а</w:t>
      </w:r>
      <w:r>
        <w:t xml:space="preserve">дминистрации </w:t>
      </w:r>
    </w:p>
    <w:p w14:paraId="16000000">
      <w:pPr>
        <w:ind/>
        <w:jc w:val="both"/>
      </w:pPr>
      <w:r>
        <w:t xml:space="preserve">Туапсинского муниципального округа       </w:t>
      </w:r>
      <w:r>
        <w:t xml:space="preserve">                                    М.А.</w:t>
      </w:r>
      <w:r>
        <w:t xml:space="preserve"> </w:t>
      </w:r>
      <w:r>
        <w:t>Синенко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нум список 1"/>
    <w:basedOn w:val="Style_3"/>
    <w:link w:val="Style_1_ch"/>
    <w:pPr>
      <w:tabs>
        <w:tab w:leader="none" w:pos="360" w:val="left"/>
      </w:tabs>
      <w:spacing w:after="120" w:before="120"/>
      <w:ind/>
      <w:jc w:val="both"/>
    </w:pPr>
    <w:rPr>
      <w:sz w:val="24"/>
    </w:rPr>
  </w:style>
  <w:style w:styleId="Style_1_ch" w:type="character">
    <w:name w:val="нум список 1"/>
    <w:basedOn w:val="Style_3_ch"/>
    <w:link w:val="Style_1"/>
    <w:rPr>
      <w:sz w:val="24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Strong"/>
    <w:link w:val="Style_2_ch"/>
    <w:rPr>
      <w:rFonts w:ascii="Times New Roman" w:hAnsi="Times New Roman"/>
      <w:b w:val="1"/>
    </w:rPr>
  </w:style>
  <w:style w:styleId="Style_2_ch" w:type="character">
    <w:name w:val="Strong"/>
    <w:link w:val="Style_2"/>
    <w:rPr>
      <w:rFonts w:ascii="Times New Roman" w:hAnsi="Times New Roman"/>
      <w:b w:val="1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(4)_"/>
    <w:basedOn w:val="Style_11"/>
    <w:link w:val="Style_10_ch"/>
    <w:rPr>
      <w:rFonts w:ascii="Times New Roman" w:hAnsi="Times New Roman"/>
      <w:b w:val="1"/>
      <w:i w:val="0"/>
      <w:caps w:val="0"/>
      <w:smallCaps w:val="0"/>
      <w:strike w:val="0"/>
      <w:sz w:val="26"/>
      <w:u w:val="none"/>
    </w:rPr>
  </w:style>
  <w:style w:styleId="Style_10_ch" w:type="character">
    <w:name w:val="Основной текст (4)_"/>
    <w:basedOn w:val="Style_11_ch"/>
    <w:link w:val="Style_10"/>
    <w:rPr>
      <w:rFonts w:ascii="Times New Roman" w:hAnsi="Times New Roman"/>
      <w:b w:val="1"/>
      <w:i w:val="0"/>
      <w:caps w:val="0"/>
      <w:smallCaps w:val="0"/>
      <w:strike w:val="0"/>
      <w:sz w:val="26"/>
      <w:u w:val="none"/>
    </w:rPr>
  </w:style>
  <w:style w:styleId="Style_12" w:type="paragraph">
    <w:name w:val="Основной текст (2)_"/>
    <w:basedOn w:val="Style_11"/>
    <w:link w:val="Style_12_ch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12_ch" w:type="character">
    <w:name w:val="Основной текст (2)_"/>
    <w:basedOn w:val="Style_11_ch"/>
    <w:link w:val="Style_12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 Spacing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No Spacing"/>
    <w:link w:val="Style_14"/>
    <w:rPr>
      <w:rFonts w:ascii="Calibri" w:hAnsi="Calibri"/>
    </w:rPr>
  </w:style>
  <w:style w:styleId="Style_15" w:type="paragraph">
    <w:name w:val="ConsNonformat"/>
    <w:link w:val="Style_15_ch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styleId="Style_15_ch" w:type="character">
    <w:name w:val="ConsNonformat"/>
    <w:link w:val="Style_15"/>
    <w:rPr>
      <w:rFonts w:ascii="Courier New" w:hAnsi="Courier New"/>
      <w:sz w:val="20"/>
    </w:rPr>
  </w:style>
  <w:style w:styleId="Style_16" w:type="paragraph">
    <w:name w:val="Основной текст (2)"/>
    <w:basedOn w:val="Style_12"/>
    <w:link w:val="Style_16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styleId="Style_16_ch" w:type="character">
    <w:name w:val="Основной текст (2)"/>
    <w:basedOn w:val="Style_12_ch"/>
    <w:link w:val="Style_1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11"/>
    <w:link w:val="Style_19_ch"/>
    <w:rPr>
      <w:color w:themeColor="hyperlink" w:val="0000FF"/>
      <w:u w:val="single"/>
    </w:rPr>
  </w:style>
  <w:style w:styleId="Style_19_ch" w:type="character">
    <w:name w:val="Hyperlink"/>
    <w:basedOn w:val="Style_11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Основной текст (4)"/>
    <w:basedOn w:val="Style_10"/>
    <w:link w:val="Style_22_ch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26"/>
      <w:u w:val="none"/>
    </w:rPr>
  </w:style>
  <w:style w:styleId="Style_22_ch" w:type="character">
    <w:name w:val="Основной текст (4)"/>
    <w:basedOn w:val="Style_10_ch"/>
    <w:link w:val="Style_22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26"/>
      <w:u w:val="none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2025-11-13T05:35:00Z</dcterms:modified>
</cp:coreProperties>
</file>