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1"/>
        <w:keepLines w:val="1"/>
        <w:numPr>
          <w:ilvl w:val="1"/>
          <w:numId w:val="1"/>
        </w:numPr>
        <w:spacing w:after="0" w:before="200" w:line="240" w:lineRule="auto"/>
        <w:ind w:left="0" w:firstLine="0"/>
        <w:rPr>
          <w:rFonts w:ascii="Calibri" w:cs="Calibri" w:eastAsia="Calibri" w:hAnsi="Calibri"/>
          <w:color w:val="5b9bd5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-351788</wp:posOffset>
            </wp:positionH>
            <wp:positionV relativeFrom="paragraph">
              <wp:posOffset>635</wp:posOffset>
            </wp:positionV>
            <wp:extent cx="975360" cy="157543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-959" l="-1533" r="-1533" t="-960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5754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spacing w:line="240" w:lineRule="auto"/>
        <w:jc w:val="center"/>
        <w:rPr/>
      </w:pPr>
      <w:r w:rsidDel="00000000" w:rsidR="00000000" w:rsidRPr="00000000">
        <w:rPr>
          <w:rFonts w:ascii="Tahoma" w:cs="Tahoma" w:eastAsia="Tahoma" w:hAnsi="Tahoma"/>
          <w:highlight w:val="white"/>
          <w:rtl w:val="0"/>
        </w:rPr>
        <w:t xml:space="preserve">Федеральное государственное бюджетное образовательное учреждение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spacing w:after="28" w:before="28" w:line="240" w:lineRule="auto"/>
        <w:jc w:val="center"/>
        <w:rPr>
          <w:rFonts w:ascii="Tahoma" w:cs="Tahoma" w:eastAsia="Tahoma" w:hAnsi="Tahoma"/>
          <w:b w:val="1"/>
          <w:bCs w:val="1"/>
          <w:color w:val="000000"/>
          <w:sz w:val="28"/>
          <w:szCs w:val="28"/>
          <w:shd w:fill="auto" w:val="clear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highlight w:val="white"/>
          <w:rtl w:val="0"/>
        </w:rPr>
        <w:t xml:space="preserve">Всероссийский детский центр </w:t>
      </w:r>
      <w:r w:rsidDel="00000000" w:rsidR="00000000" w:rsidRPr="00000000">
        <w:rPr>
          <w:rFonts w:ascii="Tahoma" w:cs="Tahoma" w:eastAsia="Tahoma" w:hAnsi="Tahoma"/>
          <w:b w:val="1"/>
          <w:bCs w:val="1"/>
          <w:color w:val="000000"/>
          <w:sz w:val="28"/>
          <w:szCs w:val="28"/>
          <w:highlight w:val="white"/>
          <w:rtl w:val="0"/>
        </w:rPr>
        <w:t xml:space="preserve">«Орлёнок»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spacing w:after="28" w:before="28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spacing w:after="28" w:before="28" w:line="240" w:lineRule="auto"/>
        <w:jc w:val="center"/>
        <w:rPr/>
      </w:pPr>
      <w:r w:rsidDel="00000000" w:rsidR="00000000" w:rsidRPr="00000000">
        <w:rPr>
          <w:rFonts w:ascii="Tahoma" w:cs="Tahoma" w:eastAsia="Tahoma" w:hAnsi="Tahoma"/>
          <w:b w:val="1"/>
          <w:bCs w:val="1"/>
          <w:color w:val="a6a6a6"/>
          <w:sz w:val="48"/>
          <w:szCs w:val="48"/>
          <w:highlight w:val="white"/>
          <w:rtl w:val="0"/>
        </w:rPr>
        <w:t xml:space="preserve">Пресс-релиз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spacing w:after="28" w:before="28" w:line="240" w:lineRule="auto"/>
        <w:jc w:val="left"/>
        <w:rPr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Tahoma" w:cs="Tahoma" w:eastAsia="Tahoma" w:hAnsi="Tahom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Вожатский отряд «Россия» отправляется в уникальную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0" w:line="276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поисково-туристскую экспедицию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line="276" w:lineRule="auto"/>
        <w:jc w:val="both"/>
        <w:rPr>
          <w:rFonts w:ascii="Tahoma" w:cs="Tahoma" w:eastAsia="Tahoma" w:hAnsi="Tahoma"/>
          <w:i w:val="1"/>
          <w:iCs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0" w:line="276" w:lineRule="auto"/>
        <w:ind w:firstLine="720"/>
        <w:jc w:val="both"/>
        <w:rPr>
          <w:rFonts w:ascii="Tahoma" w:cs="Tahoma" w:eastAsia="Tahoma" w:hAnsi="Tahoma"/>
          <w:i w:val="1"/>
          <w:iCs w:val="1"/>
          <w:sz w:val="22"/>
          <w:szCs w:val="22"/>
          <w:vertAlign w:val="baseline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sz w:val="22"/>
          <w:szCs w:val="22"/>
          <w:vertAlign w:val="baseline"/>
          <w:rtl w:val="0"/>
        </w:rPr>
        <w:t xml:space="preserve">18 июня 2026 года в Туапсинском муниципальном округе Краснодарского края стартует масштабная экспедиция вожатского отряда «Россия» «Огненный рубеж». Её участники – вожатые всероссийских детских центров «Орлёнок», «Смена», «Алые паруса», «Океан», педагогического отряда РСО, Движения Первых, «Лиги Вожатых» (Росдетцентр) и творческая группа проекта АНО «Больше, чем путешествие» «Камера. Поход. Россия».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0" w:line="276" w:lineRule="auto"/>
        <w:ind w:firstLine="720"/>
        <w:jc w:val="both"/>
        <w:rPr>
          <w:rFonts w:ascii="Tahoma" w:cs="Tahoma" w:eastAsia="Tahoma" w:hAnsi="Tahoma"/>
          <w:i w:val="1"/>
          <w:iCs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6"/>
          <w:szCs w:val="26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6"/>
          <w:szCs w:val="26"/>
          <w:u w:val="none"/>
          <w:shd w:fill="auto" w:val="clear"/>
          <w:rtl w:val="0"/>
        </w:rPr>
        <w:t xml:space="preserve">15 июня 2026 г.,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6"/>
          <w:szCs w:val="26"/>
          <w:highlight w:val="white"/>
          <w:u w:val="none"/>
          <w:rtl w:val="0"/>
        </w:rPr>
        <w:t xml:space="preserve"> Краснодарский край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Экспедиция является флагманским проектом вожатского отряда «Россия». Организаторами выступают ВДЦ «Орлёнок» и АНО «Больше, чем путешествие». Проект реализуется в рамках спецпроекта «Больше, чем экспедиция» при поддержке Министерства просвещения РФ, Русского географического общества, Движения Первых.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57" w:line="288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Экспедиция приурочена к 85-летию начала Великой Отечественной войны и Году единства народов России. Маршрут пролегает по местам Туапсинской оборонительной операции – одной из ключевых и самых кровопролитных битв за Кавказ. Главная цель вожатского отряда – сохранение исторической памяти.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57" w:line="288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6"/>
          <w:szCs w:val="26"/>
          <w:u w:val="none"/>
          <w:rtl w:val="0"/>
        </w:rPr>
        <w:t xml:space="preserve">«Патриотический туризм – это не тропы и вершины, а мосты к вечным ценностям Родины, где каждый шаг оживает подвигом предков. Он незаменим для формирования патриотически настроенного поколения: через осмысленные экспедиции мы сохраняем историческую память, куём характер и сеем семена гражданского единства. Вожатский отряд “Россия” в “Огненном рубеже” станет ярким примером: проходя местами Туапсинской обороны, вы не только почтите героев 1942 года, но и создадите живые программы для миллионов детей, укрепляя Россию через просвещение и преемственность»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, – подчеркнул директор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епартамента государственной политики в сфере воспитания, дополнительного образования и детского отдыха Министерства просвещения РФ, Герой России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Игорь Юргин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57" w:line="288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Команда экспедиции состоит из 45 человек, в её составе – вожатые федеральных детских центров «Орлёнок», «Океан», «Смена» и «Алые паруса», Движения Первых, педагогического отряда РСО, «Лиги вожатых» – представители вожатского отряда «Россия», а также волонтёры из Турции, Мали.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57" w:line="288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Среди них – Алексей Алсаев, вожатый из ВДЦ «Океан». Именно 16 июня его вожатский отряд «Исток» отмечает день рождения.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57" w:line="288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6"/>
          <w:szCs w:val="26"/>
          <w:u w:val="none"/>
          <w:rtl w:val="0"/>
        </w:rPr>
        <w:t xml:space="preserve">Мы приехали сюда с чувством гордости, что представляем свой вожатский отряд. И, кстати, сегодня, 16 июня, – день рождения нашего “Истока”. Отмечать его в экспедиции не планировали, но идея хорошая. Главные черты вожатых нашего отряда со времён его основателей – жизнелюбие, активность, инициативность, желание учить и помогать. Быть вожатым “Океана” – это большая ответственность и гордость. Мы несём миссию и опыт в педагогические составы. В “Орлёнке” – свобода, приятные люди. С ребятами мы уже знакомы, проводим мероприятия, обещаем друг другу чаще видеться. Ожиданий я не строю, но готов к любым вызовам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»,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6"/>
          <w:szCs w:val="26"/>
          <w:u w:val="no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поделился вожатый ВДЦ «Океан»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Алексей Алсаев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из Иркутска.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57" w:line="288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По итогам экспедиции участники разработают рекомендации по проведению исторических маршрутов и патриотических мероприятий в детских лагерях страны.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57" w:line="288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6"/>
          <w:szCs w:val="26"/>
          <w:u w:val="none"/>
          <w:rtl w:val="0"/>
        </w:rPr>
        <w:t xml:space="preserve">«На этих перевалах в 1942-1943 годах решалась судьба Черноморского побережья. Здесь “Огненный рубеж” Туапсинской оборонительной операции держали совсем молодые бойцы – ваши ровесники. Вы пройдёте их тропами, чтобы потом, вернувшись к своим воспитанникам, рассказать о том, что прожили, прочувствовали сердцем, узнали от коренных жителей этих мест. Это и есть та самая память поколений, которую мы храним в сердце и передаём детям. Желаю вам на “Огненном рубеже” обрести ту силу правды, которая поможет вдохновить юных граждан страны на новые инициативы, направленные на изучение и сохранение нашей общей истории»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, – отметил директор ВДЦ «Орлёнок»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Александр Джеус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57" w:line="288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Экспедиция пройдёт по маршруту: ВДЦ «Орлёнок» – село Георгиевское – перевал Гойтхский – гора Индюшка – гора Круглая – гора Семашхо – Анастасиевские поляны – село Большое Псеушхо – хутор Терзиян – село Шаумян – ВДЦ «Орлёнок».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57" w:line="288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Программа стартует 18 июня. Колонна из «Орлёнка» направится в село Георгиевское. В 1942 году Георгиевское стало «мозгом» фронта. Здесь находился штаб 18-й армии, работали узлы связи и полевые госпитали. Местные женщины, сменяя друг друга, трудились санитарками и пекли хлеб для бойцов под непрекращающимися бомбёжками. Сегодня Георгиевское – крупное сельское поселение, где по-прежнему живут потомки тех самых первопоселенцев. В селе бережно сохраняют армянские традиции и казачий фольклор. Здесь, у братской могилы советских воинов, состоится линейка памяти и официальный старт экспедиции с возложением цветов. Затем участники посетят музей Боевой славы и агроэкологический комплекс «Росток», где высадят Аллею памяти.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57" w:line="288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Далее – выход к Гойтхскому перевалу и переход к горе Индюшка. В октябре 1942 года за этот перевал шли бои, которые историки называют решающими. Потеря Гойтха означала бы потерю железной дороги – единственного пути снабжения Туапсе. Бойцы 408-й дивизии стояли здесь до последнего патрона, превращая железнодорожные насыпи в неприступные крепости. Здесь пройдёт историческая реконструкция событий Туапсинской оборонительной операции, далее – восхождение на Индюшку и переход в район перевала 165-й стрелковой бригады. В годы войны Индюшка была главной «вышкой» разведки. Корректировщики огня дежурили на вершине в тумане и на ледяном ветру, направляя удары артиллерии на немецкие колонны в долине. На вершине горы Индюшка установлен мемориал в честь павших солдат в годы Великой Отечественной войны. На нём две руки держат красную звезду – символ Советской армии.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57" w:line="288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19 июня участники экспедиции поднимутся на гору Семашхо, где у памятника «Стойкости комсомольской» почтят память бойцов 353-й и 408-й стрелковых дивизий, 165-й стрелковой бригады. Большинству из них было от 18 до 22 лет. Юность этих ребят прошла в каменных мешках под шквальным миномётным огнём, но они не дрогнули.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57" w:line="288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Кроме того, участники экспедиции благоустроят территорию мемориалов в труднодоступной местности: у памятника красноармейцу М. Шарову, у памятников И. Жукову и И. Шилову, у братской могилы воинов-красноармейцев.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57" w:line="288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20 июня экспедиция отправится в аул Большое Псеушхо, где состоится встреча с жителями и Батмысом Шхалаховым, возложение цветов к памятнику «Солдатской матери». В годы Великой Отечественной войны местная жительница Чебахан Умаровна Шхалахова проводила на фронт девятерых сыновей, троих внуков и невестку. С войны живыми вернулись только два сына и два внука, а сама Чебахан стала символом безмерного материнского подвига и стойкости.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57" w:line="288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Финальные события экспедиции состоятся 22 июня. В День памяти и скорби группа отправится к братской могиле советских воинов в хуторе Терзиян, где ровно в 4:00 состоится акция памяти. Далее вожатые в селе Шаумян примут участие в церемонии возложения цветов на мемориальном комплексе «Пядь земли», посетят народный музей и выставку «Поискового движения России».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57" w:line="288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Экспедиция сочетает походную школу, волонтёрскую заботу о воинских захоронениях и живую передачу памяти через творчество. Участники проекта узнают историю обороны Туапсе, традиции, этнографию и гастрономические особенности местности, научатся технике переходов, восхождений, организации быта в полевых условиях, а также проведению линеек памяти и соревнований по походному мастерству.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140" w:before="200" w:line="331" w:lineRule="auto"/>
        <w:ind w:left="0" w:right="0" w:firstLine="850"/>
        <w:jc w:val="both"/>
        <w:rPr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Официальные интернет-ресурсы ВДЦ «Орлёнок»: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Сайт: center-orlyonok.ru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Медиабанк: orlyonok.prexroom.ru/multimedia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ВКонтакте: vk.com/vdcorlyonok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shd w:fill="ffffff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Яндекс.Дзен: zen.yandex.ru/id/5b40d3238a640900a9287b28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line="240" w:lineRule="auto"/>
        <w:rPr/>
      </w:pPr>
      <w:r w:rsidDel="00000000" w:rsidR="00000000" w:rsidRPr="00000000">
        <w:rPr>
          <w:rFonts w:ascii="Tahoma" w:cs="Tahoma" w:eastAsia="Tahoma" w:hAnsi="Tahoma"/>
          <w:i w:val="1"/>
          <w:iCs w:val="1"/>
          <w:color w:val="000000"/>
          <w:sz w:val="22"/>
          <w:szCs w:val="22"/>
          <w:highlight w:val="white"/>
          <w:rtl w:val="0"/>
        </w:rPr>
        <w:t xml:space="preserve">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spacing w:line="240" w:lineRule="auto"/>
        <w:jc w:val="both"/>
        <w:rPr/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highlight w:val="white"/>
          <w:rtl w:val="0"/>
        </w:rPr>
        <w:t xml:space="preserve">Всероссийский детский центр «Орлёнок» — Федеральное государственное бюджетное образовательное учреждение для детей и подростков 11-16 лет. Начинался «Орлёнок» в июле 1960 года с палаточного лагеря, который раскинул свои шатры у самого синего моря. Сейчас он состоит из десяти базовых детских лагерей. Четыре из них: «Стремительный», «Звёздный», «Штормовой» и «Солнечный» работают круглогодично, «Комсомольский», «Дозорный», «Олимпийский», «Юнармеец», «Олимпийская деревня» и «Солнышко» — в летний период. В каждом лагере реализуются авторские и специализированные педагогические программы федерального и регионального уровней. В течение года «Орлёнок» принимает более 20 тысяч ребят из всех регионов Российской Федерации, стран дальнего и ближнего зарубежья. Одновременно в Центре могут отдыхать три с половиной тысячи детей летом и полторы тысячи зимой.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spacing w:line="240" w:lineRule="auto"/>
        <w:jc w:val="both"/>
        <w:rPr>
          <w:rFonts w:ascii="Tahoma" w:cs="Tahoma" w:eastAsia="Tahoma" w:hAnsi="Tahoma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highlight w:val="white"/>
          <w:rtl w:val="0"/>
        </w:rPr>
        <w:t xml:space="preserve">В 2012 году Всероссийскому детскому центру был присвоен статус «Ассоциированная школа ЮНЕСКО». Официальный сайт ВДЦ «Орлёнок»: </w:t>
      </w:r>
      <w:hyperlink r:id="rId7">
        <w:r w:rsidDel="00000000" w:rsidR="00000000" w:rsidRPr="00000000">
          <w:rPr>
            <w:rFonts w:ascii="Tahoma" w:cs="Tahoma" w:eastAsia="Tahoma" w:hAnsi="Tahoma"/>
            <w:color w:val="000080"/>
            <w:sz w:val="20"/>
            <w:szCs w:val="20"/>
            <w:highlight w:val="white"/>
            <w:u w:val="single"/>
            <w:vertAlign w:val="baseline"/>
            <w:rtl w:val="0"/>
          </w:rPr>
          <w:t xml:space="preserve">www.сenter-orlyonok.ru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spacing w:line="240" w:lineRule="auto"/>
        <w:jc w:val="both"/>
        <w:rPr>
          <w:rFonts w:ascii="Tahoma" w:cs="Tahoma" w:eastAsia="Tahoma" w:hAnsi="Tahoma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highlight w:val="white"/>
          <w:rtl w:val="0"/>
        </w:rPr>
        <w:t xml:space="preserve">За дополнительной информацией обращаться в пресс-службу ВДЦ «Орлёнок» по телефону: 8 (86167) 91-543</w:t>
      </w:r>
    </w:p>
    <w:p w:rsidR="00000000" w:rsidDel="00000000" w:rsidP="00000000" w:rsidRDefault="00000000" w:rsidRPr="00000000" w14:paraId="0000002A">
      <w:pPr>
        <w:keepNext w:val="1"/>
        <w:spacing w:after="28" w:line="276" w:lineRule="auto"/>
        <w:jc w:val="left"/>
        <w:rPr>
          <w:sz w:val="24"/>
          <w:szCs w:val="24"/>
          <w:shd w:fill="auto" w:val="clear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first"/>
      <w:pgSz w:h="16838" w:w="11906" w:orient="portrait"/>
      <w:pgMar w:bottom="539" w:top="1134" w:left="1134" w:right="1077" w:header="709" w:footer="11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Liberation Serif"/>
  <w:font w:name="Arial"/>
  <w:font w:name="Calibri"/>
  <w:font w:name="Tahom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a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sz w:val="20"/>
        <w:szCs w:val="20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b w:val="1"/>
        <w:bCs w:val="1"/>
        <w:sz w:val="26"/>
        <w:szCs w:val="26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sz w:val="20"/>
        <w:szCs w:val="20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0"/>
        <w:szCs w:val="20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0"/>
        <w:szCs w:val="20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0"/>
        <w:szCs w:val="20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0"/>
        <w:szCs w:val="20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0"/>
        <w:szCs w:val="20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0"/>
        <w:szCs w:val="20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color w:val="00000a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Arial" w:cs="Arial" w:eastAsia="Arial" w:hAnsi="Arial"/>
      <w:color w:val="36609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i w:val="1"/>
      <w:iCs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Arial" w:cs="Arial" w:eastAsia="Arial" w:hAnsi="Arial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viewer.yandex.ru/r.xml?sk=yf37a16b42b72e3970235f16ca22737bb&amp;url=https%3A%2F%2Fdocviewer.yandex.ru%2Fr.xml%3Fsk%3Dyb50b1fa36123893d9712f032f49cff47%26url%3Dhttp%253A%252F%252Fwww.orlyonok.ru%252F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