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>управления экономического развития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E73FC4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Стамбольжи</w:t>
      </w:r>
      <w:proofErr w:type="spellEnd"/>
      <w:r>
        <w:rPr>
          <w:sz w:val="28"/>
          <w:szCs w:val="28"/>
        </w:rPr>
        <w:t xml:space="preserve"> М.А.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6E5756" w:rsidRPr="006E5756" w:rsidRDefault="00642D86" w:rsidP="006E5756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9A4D77">
        <w:t xml:space="preserve">по результатам экспертизы проекта постановления администрации </w:t>
      </w:r>
      <w:r w:rsidR="00E73FC4">
        <w:t>Т</w:t>
      </w:r>
      <w:r w:rsidR="00D654BD">
        <w:t xml:space="preserve">уапсинского муниципального </w:t>
      </w:r>
      <w:r w:rsidR="00D654BD" w:rsidRPr="006E5756">
        <w:t>округа</w:t>
      </w:r>
      <w:r w:rsidR="00E73FC4" w:rsidRPr="006E5756">
        <w:t xml:space="preserve"> </w:t>
      </w:r>
      <w:r w:rsidR="006E5756" w:rsidRPr="006E5756">
        <w:t>«</w:t>
      </w:r>
      <w:r w:rsidR="006E5756" w:rsidRPr="006E5756">
        <w:rPr>
          <w:rFonts w:eastAsia="Calibri" w:cs="Calibri"/>
          <w:lang w:eastAsia="en-US"/>
        </w:rPr>
        <w:t>Об утверждении Порядка согласования соглашений</w:t>
      </w:r>
      <w:r w:rsidR="006E5756" w:rsidRPr="006E5756">
        <w:rPr>
          <w:rFonts w:eastAsia="Calibri" w:cs="Calibri"/>
          <w:lang w:eastAsia="en-US"/>
        </w:rPr>
        <w:t xml:space="preserve"> </w:t>
      </w:r>
      <w:r w:rsidR="006E5756" w:rsidRPr="006E5756">
        <w:rPr>
          <w:rFonts w:eastAsia="Calibri" w:cs="Calibri"/>
          <w:lang w:eastAsia="en-US"/>
        </w:rPr>
        <w:t>о защите и поощрении капиталовложений со стороны Туапсинского муниципального округа</w:t>
      </w:r>
      <w:r w:rsidR="006E5756" w:rsidRPr="006E5756">
        <w:rPr>
          <w:rFonts w:eastAsia="Calibri" w:cs="Calibri"/>
          <w:lang w:eastAsia="en-US"/>
        </w:rPr>
        <w:t>»</w:t>
      </w:r>
      <w:r w:rsidR="006E5756" w:rsidRPr="006E5756">
        <w:rPr>
          <w:rFonts w:eastAsia="Calibri" w:cs="Calibri"/>
          <w:b/>
          <w:lang w:eastAsia="en-US"/>
        </w:rPr>
        <w:t xml:space="preserve"> </w:t>
      </w:r>
    </w:p>
    <w:p w:rsidR="006E5756" w:rsidRPr="006E5756" w:rsidRDefault="006E5756" w:rsidP="006E5756">
      <w:pPr>
        <w:widowControl w:val="0"/>
        <w:jc w:val="center"/>
        <w:rPr>
          <w:rFonts w:eastAsia="Calibri" w:cs="Calibri"/>
          <w:b/>
          <w:lang w:eastAsia="en-US"/>
        </w:rPr>
      </w:pPr>
    </w:p>
    <w:p w:rsidR="00E73FC4" w:rsidRPr="00E73FC4" w:rsidRDefault="00E73FC4" w:rsidP="00E73FC4">
      <w:pPr>
        <w:widowControl w:val="0"/>
        <w:ind w:right="849" w:hanging="851"/>
        <w:jc w:val="center"/>
      </w:pPr>
    </w:p>
    <w:p w:rsidR="00642D86" w:rsidRPr="009A4D77" w:rsidRDefault="00D654BD" w:rsidP="000741F4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6E5756" w:rsidRPr="006E5756">
        <w:t>«Об утверждении Порядка согласования соглашений о защите и поощрении капиталовложений со стороны Туапсинского муниципального округа»</w:t>
      </w:r>
      <w:bookmarkStart w:id="0" w:name="_GoBack"/>
      <w:bookmarkEnd w:id="0"/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712AA1">
        <w:t>управления</w:t>
      </w:r>
      <w:r w:rsidR="00E73FC4">
        <w:t xml:space="preserve"> экономического развития</w:t>
      </w:r>
      <w:r w:rsidR="00642D86" w:rsidRPr="009A4D77">
        <w:t xml:space="preserve"> администрации  </w:t>
      </w:r>
      <w:r>
        <w:t>Туапсинского муниципального округа</w:t>
      </w:r>
      <w:proofErr w:type="gramEnd"/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Default="006E5756" w:rsidP="00712AA1">
      <w:pPr>
        <w:ind w:right="140" w:firstLine="567"/>
        <w:jc w:val="both"/>
      </w:pPr>
      <w:r w:rsidRPr="006E5756">
        <w:t xml:space="preserve">частью 8 статьи 4 Федерального закона  от 1 апреля 2020 г. № 69-ФЗ «О защите и поощрении капиталовложений в Российской Федерации», постановлением Правительства Российской Федерации от 13 сентября 2022 г. № 1602 «О </w:t>
      </w:r>
      <w:proofErr w:type="gramStart"/>
      <w:r w:rsidRPr="006E5756">
        <w:t>соглашениях</w:t>
      </w:r>
      <w:proofErr w:type="gramEnd"/>
      <w:r w:rsidRPr="006E5756">
        <w:t xml:space="preserve"> о защите и поощрении капиталовложений», Законом Краснодарского края от 29 декабря 2020 г. № 4399-КЗ «О регулировании отдельных отношений в сфере защиты и поощрения капиталовложений на территории Краснодарского края и о внесении изменения в статью 1 закона Краснодарского края «О договорах Краснодарского края», постановлением главы администрации (губернатора) Краснодарского края от 8 ноября 2022 г. № 796 «Об утверждении Порядка заключения соглашений о защите и поощрении капиталовложений, стороной которых не является Российская Федерация, изменения и прекращения действия таких соглашений, особенностей раскрытия информации о </w:t>
      </w:r>
      <w:proofErr w:type="spellStart"/>
      <w:r w:rsidRPr="006E5756">
        <w:t>бенефициарных</w:t>
      </w:r>
      <w:proofErr w:type="spellEnd"/>
      <w:r w:rsidRPr="006E5756">
        <w:t xml:space="preserve"> владельцах организации, реализующей проект, и Порядка </w:t>
      </w:r>
      <w:proofErr w:type="gramStart"/>
      <w:r w:rsidRPr="006E5756">
        <w:t xml:space="preserve">осуществления мониторинга </w:t>
      </w:r>
      <w:r w:rsidRPr="006E5756">
        <w:lastRenderedPageBreak/>
        <w:t>исполнения условий соглашения</w:t>
      </w:r>
      <w:proofErr w:type="gramEnd"/>
      <w:r w:rsidRPr="006E5756">
        <w:t xml:space="preserve">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проекта»</w:t>
      </w:r>
      <w:r w:rsidR="00712AA1">
        <w:t>.</w:t>
      </w:r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</w:t>
      </w:r>
      <w:proofErr w:type="spellStart"/>
      <w:r w:rsidRPr="009A4D77">
        <w:t>коррупциогенные</w:t>
      </w:r>
      <w:proofErr w:type="spellEnd"/>
      <w:r w:rsidRPr="009A4D77">
        <w:t xml:space="preserve">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D654BD" w:rsidRDefault="00D654BD" w:rsidP="000741F4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0741F4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F4FB0"/>
    <w:rsid w:val="00420819"/>
    <w:rsid w:val="00442512"/>
    <w:rsid w:val="00476C16"/>
    <w:rsid w:val="005E32DE"/>
    <w:rsid w:val="00642D86"/>
    <w:rsid w:val="00687372"/>
    <w:rsid w:val="006D7E65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BF66CE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57A91-98A3-40E4-AD80-89571E27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2025-02-14T11:21:00Z</cp:lastPrinted>
  <dcterms:created xsi:type="dcterms:W3CDTF">2025-02-14T11:22:00Z</dcterms:created>
  <dcterms:modified xsi:type="dcterms:W3CDTF">2025-02-14T11:22:00Z</dcterms:modified>
</cp:coreProperties>
</file>