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D64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D64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41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D644E8" w:rsidRPr="00D644E8">
        <w:rPr>
          <w:b/>
          <w:szCs w:val="28"/>
        </w:rPr>
        <w:t>Алтухова Сергея Викторовича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D644E8">
        <w:rPr>
          <w:sz w:val="28"/>
          <w:szCs w:val="28"/>
        </w:rPr>
        <w:t>Алтухову Сергею Викторовичу</w:t>
      </w:r>
      <w:r>
        <w:rPr>
          <w:sz w:val="28"/>
          <w:szCs w:val="28"/>
        </w:rPr>
        <w:t xml:space="preserve">, ИНН: </w:t>
      </w:r>
      <w:r w:rsidR="00655217">
        <w:rPr>
          <w:sz w:val="28"/>
          <w:szCs w:val="28"/>
        </w:rPr>
        <w:t>__________________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1944B1">
        <w:rPr>
          <w:sz w:val="28"/>
          <w:szCs w:val="28"/>
        </w:rPr>
        <w:t>Алтухову Сергею Викторовичу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1944B1">
        <w:rPr>
          <w:sz w:val="28"/>
          <w:szCs w:val="28"/>
        </w:rPr>
        <w:t>Алтухова Сергея Викторовича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944B1"/>
    <w:rsid w:val="001D2B80"/>
    <w:rsid w:val="002D2BD3"/>
    <w:rsid w:val="00382B40"/>
    <w:rsid w:val="00474A03"/>
    <w:rsid w:val="005142F3"/>
    <w:rsid w:val="00531709"/>
    <w:rsid w:val="005B20E4"/>
    <w:rsid w:val="00655217"/>
    <w:rsid w:val="006E6F5A"/>
    <w:rsid w:val="007B0A4C"/>
    <w:rsid w:val="00803E4E"/>
    <w:rsid w:val="00AA0058"/>
    <w:rsid w:val="00B013BA"/>
    <w:rsid w:val="00B31D68"/>
    <w:rsid w:val="00B335D7"/>
    <w:rsid w:val="00CA700E"/>
    <w:rsid w:val="00D644E8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2021-07-18T10:34:00Z</cp:lastPrinted>
  <dcterms:created xsi:type="dcterms:W3CDTF">2021-07-22T06:34:00Z</dcterms:created>
  <dcterms:modified xsi:type="dcterms:W3CDTF">2021-07-23T15:49:00Z</dcterms:modified>
</cp:coreProperties>
</file>