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4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6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8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900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проведенном мониторинге коррупционных рисков в</w:t>
      </w:r>
    </w:p>
    <w:p w14:paraId="0A00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администрации муниципального образования Туапсинский район</w:t>
      </w:r>
    </w:p>
    <w:p w14:paraId="0B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для определения перечня должностей, в наибольшей степени</w:t>
      </w:r>
    </w:p>
    <w:p w14:paraId="0C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подверженных риску коррупции </w:t>
      </w:r>
      <w:r>
        <w:rPr>
          <w:rFonts w:ascii="Times New Roman" w:hAnsi="Times New Roman"/>
          <w:b w:val="1"/>
          <w:color w:val="000000"/>
          <w:sz w:val="28"/>
        </w:rPr>
        <w:t>за первое полугодие</w:t>
      </w:r>
      <w:r>
        <w:rPr>
          <w:rFonts w:ascii="Times New Roman" w:hAnsi="Times New Roman"/>
          <w:b w:val="1"/>
          <w:sz w:val="28"/>
        </w:rPr>
        <w:t xml:space="preserve"> 2024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D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0E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ascii="Times New Roman" w:hAnsi="Times New Roman"/>
          <w:color w:val="000000"/>
          <w:sz w:val="28"/>
        </w:rPr>
        <w:t>15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апреля</w:t>
      </w:r>
      <w:r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color w:val="000000"/>
          <w:sz w:val="28"/>
        </w:rPr>
        <w:t>1164</w:t>
      </w:r>
      <w:r>
        <w:rPr>
          <w:rFonts w:ascii="Times New Roman" w:hAnsi="Times New Roman"/>
          <w:sz w:val="28"/>
        </w:rPr>
        <w:t xml:space="preserve"> «Об утверждении методики мониторинга коррупционных рисков в администрации муниципального образования Туапсинский район для определения перечня должностей, в наибольшей степени подверженных риску коррупции» в целях определения сфер муниципального управления и перечня должностей муниципальной службы, в наибольшей степени подверженных риску коррупции, дважды в год проводится мониторинг коррупционных рисков.</w:t>
      </w:r>
    </w:p>
    <w:p w14:paraId="0F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коррупционных рисков проводится на основании данных, полученных по результатам:</w:t>
      </w:r>
    </w:p>
    <w:p w14:paraId="10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1) экспертизы жалоб и обращений граждан на наличие сведений о фактах коррупции в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;</w:t>
      </w:r>
    </w:p>
    <w:p w14:paraId="11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2) данных анализа материалов, размещенных в средствах массовой информации, о фактах коррупции в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;</w:t>
      </w:r>
    </w:p>
    <w:p w14:paraId="12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муниципальной службы в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 и принятых мерах по их предотвращению;</w:t>
      </w:r>
    </w:p>
    <w:p w14:paraId="13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, подведомственных учреждений (организаций) и их должностных лиц, и принятых мер;</w:t>
      </w:r>
    </w:p>
    <w:p w14:paraId="14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5)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итогов мониторинг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восприятия уровня коррупции в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;</w:t>
      </w:r>
    </w:p>
    <w:p w14:paraId="15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6) данных антикоррупционной экспертизы нормативных правовых актов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 и их проектов за отчетный период.</w:t>
      </w:r>
    </w:p>
    <w:p w14:paraId="16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1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Независимая экспертиза нормативных правовых актов (проектов)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 xml:space="preserve">МО </w:t>
      </w:r>
      <w:r>
        <w:rPr>
          <w:rFonts w:ascii="Times New Roman" w:hAnsi="Times New Roman"/>
          <w:b w:val="1"/>
          <w:sz w:val="28"/>
        </w:rPr>
        <w:t>Туапсинский район на коррупциогенность</w:t>
      </w:r>
    </w:p>
    <w:p w14:paraId="18000000">
      <w:pPr>
        <w:pStyle w:val="Style_2"/>
        <w:spacing w:after="0" w:before="0"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19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ascii="Times New Roman" w:hAnsi="Times New Roman"/>
          <w:color w:val="000000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сентябр</w:t>
      </w:r>
      <w:r>
        <w:rPr>
          <w:rFonts w:ascii="Times New Roman" w:hAnsi="Times New Roman"/>
          <w:sz w:val="28"/>
        </w:rPr>
        <w:t>я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color w:val="000000"/>
          <w:sz w:val="28"/>
        </w:rPr>
        <w:t>1460</w:t>
      </w:r>
      <w:r>
        <w:rPr>
          <w:rFonts w:ascii="Times New Roman" w:hAnsi="Times New Roman"/>
          <w:sz w:val="28"/>
        </w:rPr>
        <w:t xml:space="preserve"> «О проведении антикоррупционной экспертизы муниципальных правовых актов и проектов муниципальных правовых актов МО Туапсинский район» на официальном сайте муниципального образования Туапсинский район в информационно-телекоммуникационной сети Интернет в первом полугодии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размещено </w:t>
      </w:r>
      <w:r>
        <w:rPr>
          <w:rFonts w:ascii="Times New Roman" w:hAnsi="Times New Roman"/>
          <w:sz w:val="28"/>
        </w:rPr>
        <w:t>80</w:t>
      </w:r>
      <w:r>
        <w:rPr>
          <w:rFonts w:ascii="Times New Roman" w:hAnsi="Times New Roman"/>
          <w:sz w:val="28"/>
        </w:rPr>
        <w:t xml:space="preserve"> муниципальных правовых актов и проектов НПА с указанием дат начала и окончания приема заключений для проведения независимой антикоррупционной экспертизы.</w:t>
      </w:r>
    </w:p>
    <w:p w14:paraId="1A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проекты нормативных правовых актов направлялись в органы прокуратуры для проведения антикоррупционной экспертизы.</w:t>
      </w:r>
    </w:p>
    <w:p w14:paraId="1B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первом полугодии 20</w:t>
      </w:r>
      <w:r>
        <w:rPr>
          <w:rFonts w:ascii="Times New Roman" w:hAnsi="Times New Roman"/>
          <w:color w:val="000000"/>
          <w:sz w:val="28"/>
        </w:rPr>
        <w:t>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заключений (замечаний) на наличие коррупциогенных фактов в проектах </w:t>
      </w:r>
      <w:r>
        <w:rPr>
          <w:rFonts w:ascii="Times New Roman" w:hAnsi="Times New Roman"/>
          <w:color w:val="000000"/>
          <w:sz w:val="28"/>
        </w:rPr>
        <w:t xml:space="preserve">нормативных правовых актов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обнаружено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1D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1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Независимая экспертиза нормативных правовых актов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 на коррупциогенность</w:t>
      </w:r>
    </w:p>
    <w:p w14:paraId="1F000000">
      <w:pPr>
        <w:pStyle w:val="Style_2"/>
        <w:spacing w:after="0" w:before="0"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20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70 Устава муниципального образования Туапсинский район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14:paraId="21000000">
      <w:pPr>
        <w:pStyle w:val="Style_2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местного самоуправления, их должностные лица обязаны обеспечить каждому гражданину, проживающему на территории муниципального образования Туапсинский район возможность ознакомления с муниципальными правовыми актами, затрагивающими права, свободы и обязанности человека и гражданина, получения полной и достоверной информации о деятельности органов местного самоуправления и их должностных лиц. Официальным опубликованием нормативного правового акта является первая его публикация в печатном средстве массовой информации.</w:t>
      </w:r>
    </w:p>
    <w:p w14:paraId="22000000">
      <w:pPr>
        <w:pStyle w:val="Style_2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Нормативные правовые акты публикуются в районной газете «Черноморье Сегодня».</w:t>
      </w:r>
    </w:p>
    <w:p w14:paraId="23000000">
      <w:pPr>
        <w:pStyle w:val="Style_2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первом полугодии 2024 года н</w:t>
      </w:r>
      <w:r>
        <w:rPr>
          <w:rFonts w:ascii="Times New Roman" w:hAnsi="Times New Roman"/>
          <w:sz w:val="28"/>
        </w:rPr>
        <w:t xml:space="preserve">езависимой экспертизы нормативных правовых актов органов местного самоуправления муниципального образования Туапсинский район на </w:t>
      </w:r>
      <w:bookmarkStart w:id="1" w:name="__DdeLink__214_2810521041"/>
      <w:r>
        <w:rPr>
          <w:rFonts w:ascii="Times New Roman" w:hAnsi="Times New Roman"/>
          <w:sz w:val="28"/>
        </w:rPr>
        <w:t>коррупциогенность</w:t>
      </w:r>
      <w:bookmarkEnd w:id="1"/>
      <w:r>
        <w:rPr>
          <w:rFonts w:ascii="Times New Roman" w:hAnsi="Times New Roman"/>
          <w:sz w:val="28"/>
        </w:rPr>
        <w:t xml:space="preserve"> не проводил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sz w:val="28"/>
        </w:rPr>
        <w:t>сь.</w:t>
      </w:r>
    </w:p>
    <w:p w14:paraId="24000000">
      <w:pPr>
        <w:pStyle w:val="Style_2"/>
        <w:widowControl w:val="0"/>
        <w:spacing w:after="0" w:before="0" w:line="240" w:lineRule="auto"/>
        <w:ind w:firstLine="0" w:left="0"/>
        <w:jc w:val="left"/>
        <w:rPr>
          <w:rFonts w:ascii="Times New Roman" w:hAnsi="Times New Roman"/>
          <w:sz w:val="28"/>
        </w:rPr>
      </w:pPr>
    </w:p>
    <w:p w14:paraId="25000000">
      <w:pPr>
        <w:pStyle w:val="Style_2"/>
        <w:widowControl w:val="0"/>
        <w:spacing w:after="0" w:before="0" w:line="240" w:lineRule="auto"/>
        <w:ind w:firstLine="0" w:left="0"/>
        <w:jc w:val="left"/>
        <w:rPr>
          <w:rFonts w:ascii="Times New Roman" w:hAnsi="Times New Roman"/>
          <w:sz w:val="28"/>
        </w:rPr>
      </w:pPr>
    </w:p>
    <w:p w14:paraId="2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Общественная экспертиза социально – значимых решений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27000000">
      <w:pPr>
        <w:pStyle w:val="Style_2"/>
        <w:spacing w:after="0" w:before="0"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28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муниципальном образовании Туапсинский район действует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sz w:val="28"/>
        </w:rPr>
        <w:t>овет Общественн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палаты </w:t>
      </w:r>
      <w:r>
        <w:rPr>
          <w:rFonts w:ascii="Times New Roman" w:hAnsi="Times New Roman"/>
          <w:sz w:val="28"/>
        </w:rPr>
        <w:t>муниципального образования Туапсинский район.</w:t>
      </w:r>
    </w:p>
    <w:p w14:paraId="29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первом полугодии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sz w:val="28"/>
        </w:rPr>
        <w:t xml:space="preserve"> заключени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sz w:val="28"/>
        </w:rPr>
        <w:t xml:space="preserve"> по результатам общественной экспертизы социально-значимых решений органов местного самоуправления муниципального образования Туапсинский район не поступало.</w:t>
      </w:r>
    </w:p>
    <w:p w14:paraId="2A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2B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Экспертиза жалоб и обращений граждан по телефону «горячей линии»,</w:t>
      </w:r>
    </w:p>
    <w:p w14:paraId="2D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а также на официальном сайте администрации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2E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наличие сведений о фактах коррупции</w:t>
      </w:r>
    </w:p>
    <w:p w14:paraId="2F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30000000">
      <w:pPr>
        <w:pStyle w:val="Style_3"/>
        <w:spacing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предотвращения коррупционных рисков при работе с входящей корреспонденцией, поступающей от физических и юридических лиц, осуществляется контроль за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 и постановления администрации МО Туапсинский район № 1972 от 06 декабря 2021 г. «Об утверждении Порядка организации работы телефона «горячей линии» администрации муниципального образования Туапсинский район по вопросам противодействия коррупции»).</w:t>
      </w:r>
    </w:p>
    <w:p w14:paraId="31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первом полугодии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 телефон «горячей линии», а также на официальный сайт администрации муниципального образования Туапсинский район обращений не поступало. Сведений о коррупционных фактах или иных правонарушениях, совершенных муниципальными служащими, а также информации о фактах коррупции в иных сферах деятельности не поступало.</w:t>
      </w:r>
    </w:p>
    <w:p w14:paraId="32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33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Мониторинг восприятия уровня коррупции</w:t>
      </w:r>
    </w:p>
    <w:p w14:paraId="34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35000000">
      <w:pPr>
        <w:pStyle w:val="Style_3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6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соответствии с постановлением администрации муниципального образования Туапсинский район от 24 июля 2014 года № 2070 «Об утверждении методики мониторинга восприятия уровня коррупции в администрации муниципального образования Туапсинский район» о</w:t>
      </w:r>
      <w:r>
        <w:rPr>
          <w:rFonts w:ascii="Times New Roman" w:hAnsi="Times New Roman"/>
          <w:sz w:val="28"/>
        </w:rPr>
        <w:t>дин раз в полугодие, в муниципальном образовании Туапсинский район проводится мониторинг восприятия уровня коррупции.</w:t>
      </w:r>
    </w:p>
    <w:p w14:paraId="37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мониторинга восприятия уровня коррупции производятся социологические исследования. По их результатам составляется отчет о проведении социологических исследований восприятия уровня коррупции в администрации </w:t>
      </w:r>
      <w:bookmarkStart w:id="2" w:name="__DdeLink__3107_1448859735"/>
      <w:r>
        <w:rPr>
          <w:rFonts w:ascii="Times New Roman" w:hAnsi="Times New Roman"/>
          <w:sz w:val="28"/>
        </w:rPr>
        <w:t>муниципального образования Туапсинский район</w:t>
      </w:r>
      <w:bookmarkEnd w:id="2"/>
      <w:r>
        <w:rPr>
          <w:rFonts w:ascii="Times New Roman" w:hAnsi="Times New Roman"/>
          <w:sz w:val="28"/>
        </w:rPr>
        <w:t xml:space="preserve"> со стороны общества и бизнеса.</w:t>
      </w:r>
    </w:p>
    <w:p w14:paraId="38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первом полугодии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социологическое исследование на территории Туапсинского района не проводилось</w:t>
      </w:r>
      <w:r>
        <w:rPr>
          <w:rFonts w:ascii="Times New Roman" w:hAnsi="Times New Roman"/>
          <w:sz w:val="28"/>
        </w:rPr>
        <w:t>.</w:t>
      </w:r>
    </w:p>
    <w:p w14:paraId="39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3A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Статистические наблюдения за уровнем регистрируемых</w:t>
      </w:r>
    </w:p>
    <w:p w14:paraId="3B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коррупционных правонарушений</w:t>
      </w:r>
    </w:p>
    <w:p w14:paraId="3C000000">
      <w:pPr>
        <w:pStyle w:val="Style_3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pStyle w:val="Style_3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Согласно данным правоохранительных органов </w:t>
      </w:r>
      <w:r>
        <w:rPr>
          <w:rFonts w:ascii="Times New Roman" w:hAnsi="Times New Roman"/>
          <w:color w:val="000000"/>
          <w:sz w:val="28"/>
        </w:rPr>
        <w:t xml:space="preserve">в первом полугодии </w:t>
      </w:r>
      <w:r>
        <w:rPr>
          <w:rFonts w:ascii="Times New Roman" w:hAnsi="Times New Roman"/>
          <w:color w:val="000000"/>
          <w:sz w:val="28"/>
        </w:rPr>
        <w:t>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территории муниципального образования Туапсинский район правоохранительными органами зарегистрировано 3</w:t>
      </w:r>
      <w:r>
        <w:rPr>
          <w:rFonts w:ascii="Times New Roman" w:hAnsi="Times New Roman"/>
          <w:color w:val="000000"/>
          <w:sz w:val="28"/>
        </w:rPr>
        <w:t xml:space="preserve"> (АППГ -10)</w:t>
      </w:r>
      <w:r>
        <w:rPr>
          <w:rFonts w:ascii="Times New Roman" w:hAnsi="Times New Roman"/>
          <w:color w:val="000000"/>
          <w:sz w:val="28"/>
        </w:rPr>
        <w:t xml:space="preserve"> преступлени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коррупционной направленности по статьям 290 УК РФ «Получение взятки», 291 УК РФ «Дача вз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тки».</w:t>
      </w:r>
    </w:p>
    <w:p w14:paraId="3E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3F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</w:p>
    <w:p w14:paraId="40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наиболее коррупционно опасных сфер деятельности</w:t>
      </w:r>
    </w:p>
    <w:p w14:paraId="41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администрации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42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43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формирование, утверждение, исполнение местного бюджета и контроль за его исполнением;</w:t>
      </w:r>
    </w:p>
    <w:p w14:paraId="44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владение, пользование и распоряжение имуществом, находящимся в муниципальной собственности муниципального образования Туапсинский район;</w:t>
      </w:r>
    </w:p>
    <w:p w14:paraId="45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обеспечение малоимущих граждан, проживающих в муниципальном образовании Туапсинский район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14:paraId="46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образования Туапсинский район, а также организация отдыха детей в каникулярное время;</w:t>
      </w:r>
    </w:p>
    <w:p w14:paraId="47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создание условий для обеспечения жителей муниципального образования Туапсинский район услугами связи, общественного питания, торговли и бытового обслуживания;</w:t>
      </w:r>
    </w:p>
    <w:p w14:paraId="48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ведение информационной системы обеспечения градостроительной деятельности, осуществляемой на территории муниципального образования</w:t>
      </w:r>
    </w:p>
    <w:p w14:paraId="49000000">
      <w:pPr>
        <w:pStyle w:val="Style_3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район;</w:t>
      </w:r>
    </w:p>
    <w:p w14:paraId="4A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резервирование земель и их изъятие, в том числе путем выкупа, земельных участков в границах муниципального образования Туапсинский район;</w:t>
      </w:r>
    </w:p>
    <w:p w14:paraId="4B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выдача разрешений на установку рекламных конструкций, аннулирование таких разрешений, выдача предписаний о демонтаже рекламных конструкций срок действия, которых истек на территории муниципального образования Туапсинский район;</w:t>
      </w:r>
    </w:p>
    <w:p w14:paraId="4C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14:paraId="4D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обеспечение размещения заказов на поставки товаров, выполнение работ, оказание услуг для муниципальных нужд, исполнения и контроля за исполнением муниципального заказа;</w:t>
      </w:r>
    </w:p>
    <w:p w14:paraId="4E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осуществление муниципального финансового контроля;</w:t>
      </w:r>
    </w:p>
    <w:p w14:paraId="4F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исполнение функций муниципального контроля;</w:t>
      </w:r>
    </w:p>
    <w:p w14:paraId="50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предоставление услуг заявителям, а также иные непосредственные контакты с гражданами и организациями;</w:t>
      </w:r>
    </w:p>
    <w:p w14:paraId="51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4) подготовка и (или) принятие решений по разработке и утверждению целевых программ и других программ, предусматривающих выделение бюджетных средств;</w:t>
      </w:r>
    </w:p>
    <w:p w14:paraId="52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подготовка и (или) принятие решений, связанных с назначением на коррупциогенные должности.</w:t>
      </w:r>
    </w:p>
    <w:p w14:paraId="53000000">
      <w:pPr>
        <w:pStyle w:val="Style_3"/>
        <w:spacing w:line="240" w:lineRule="auto"/>
        <w:ind w:firstLine="0" w:left="0"/>
        <w:jc w:val="left"/>
        <w:rPr>
          <w:rFonts w:ascii="Times New Roman" w:hAnsi="Times New Roman"/>
          <w:sz w:val="28"/>
          <w:highlight w:val="yellow"/>
        </w:rPr>
      </w:pPr>
    </w:p>
    <w:p w14:paraId="54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Должности муниципальной службы в администрации</w:t>
      </w:r>
    </w:p>
    <w:p w14:paraId="55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район, в наибольшей степени</w:t>
      </w:r>
    </w:p>
    <w:p w14:paraId="56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подверженные риску коррупции:</w:t>
      </w:r>
    </w:p>
    <w:p w14:paraId="57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58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Первый заместитель главы муниципального образования Туапсинский район;</w:t>
      </w:r>
    </w:p>
    <w:p w14:paraId="59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Заместитель главы администрации муниципального образования Туапсинский район;</w:t>
      </w:r>
    </w:p>
    <w:p w14:paraId="5A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Начальник управления;</w:t>
      </w:r>
    </w:p>
    <w:p w14:paraId="5B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Заместитель начальника управления, отдела (самостоятельного);</w:t>
      </w:r>
    </w:p>
    <w:p w14:paraId="5C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Начальник отдела управления;</w:t>
      </w:r>
    </w:p>
    <w:p w14:paraId="5D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Начальник отдела (самостоятельного);</w:t>
      </w:r>
    </w:p>
    <w:p w14:paraId="5E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Заместитель начальника отдела управления;</w:t>
      </w:r>
    </w:p>
    <w:p w14:paraId="5F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60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Меры по ликвидации (нейтрализации) коррупционных рисков</w:t>
      </w:r>
    </w:p>
    <w:p w14:paraId="61000000">
      <w:pPr>
        <w:pStyle w:val="Style_3"/>
        <w:tabs>
          <w:tab w:leader="none" w:pos="708" w:val="clear"/>
          <w:tab w:leader="none" w:pos="6643" w:val="left"/>
        </w:tabs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62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антикоррупционная пропаганда населения;</w:t>
      </w:r>
    </w:p>
    <w:p w14:paraId="63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неприятия коррупции в молодежной среде;</w:t>
      </w:r>
    </w:p>
    <w:p w14:paraId="64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14:paraId="65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рассмотрение обращений граждан на действия (бездействие) работников органов местного самоуправления;</w:t>
      </w:r>
    </w:p>
    <w:p w14:paraId="66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повышению качества издаваемых нормативных правовых актов;</w:t>
      </w:r>
    </w:p>
    <w:p w14:paraId="67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правовой экспертизы действующих нормативных правовых актов и проектов на предмет их коррупциогенности;</w:t>
      </w:r>
    </w:p>
    <w:p w14:paraId="68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14:paraId="69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проверок муниципальных служащих на предмет их участия в предпринимательской деятельности, оказания не предусмотренного законодательством содействия физическим и юридическим лицам с использованием служебного положения и иных ограничений, установленных Федеральным законом от 02.03.2007 № 25-ФЗ «О муниципальной службе в Российской Федерации»;</w:t>
      </w:r>
    </w:p>
    <w:p w14:paraId="6A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14:paraId="6B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работы комиссии по урегулированию конфликта интересов и соблюдению требований к служебному поведению муниципальных служащих;</w:t>
      </w:r>
    </w:p>
    <w:p w14:paraId="6C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осуществлению контроля за исполнением действующего законодательства об использовании муниципального имущества, его реализации;</w:t>
      </w:r>
    </w:p>
    <w:p w14:paraId="6D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 w14:paraId="6E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сети удаленных рабочих мест МФЦ;</w:t>
      </w:r>
    </w:p>
    <w:p w14:paraId="6F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актуализация Реестра муниципальных услуг (функций) и их регламентация;</w:t>
      </w:r>
    </w:p>
    <w:p w14:paraId="70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заседаний комиссии по урегулированию конфликта интересов и соблюдению требований к служебному поведению;</w:t>
      </w:r>
    </w:p>
    <w:p w14:paraId="71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заседаниях Совета по взаимодействию с малым и средним бизнесом при главе муниципального образования Туапсинский район рассматривать:</w:t>
      </w:r>
    </w:p>
    <w:p w14:paraId="72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проблемы при осуществлении хозяйственной деятельности субъектами малого и среднего бизнеса;</w:t>
      </w:r>
    </w:p>
    <w:p w14:paraId="73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соблюдение трудового законодательства хозяйствующими субъектами при осуществлении предпринимательской деятельности;</w:t>
      </w:r>
    </w:p>
    <w:p w14:paraId="74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вопросы по противодействию </w:t>
      </w:r>
      <w:bookmarkStart w:id="3" w:name="_GoBack"/>
      <w:bookmarkEnd w:id="3"/>
      <w:r>
        <w:rPr>
          <w:rFonts w:ascii="Times New Roman" w:hAnsi="Times New Roman"/>
          <w:sz w:val="28"/>
        </w:rPr>
        <w:t>коррупции в органах местного самоуправления и меры по устранению условий, сопутствующих бытовой коррупции.</w:t>
      </w:r>
    </w:p>
    <w:sectPr>
      <w:headerReference r:id="rId1" w:type="default"/>
      <w:type w:val="nextPage"/>
      <w:pgSz w:h="16838" w:orient="portrait" w:w="11906"/>
      <w:pgMar w:bottom="709" w:footer="0" w:gutter="0" w:header="708" w:left="1701" w:right="566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Caption"/>
    <w:basedOn w:val="Style_2"/>
    <w:link w:val="Style_4_ch"/>
    <w:pPr>
      <w:spacing w:after="120" w:before="120"/>
      <w:ind/>
    </w:pPr>
    <w:rPr>
      <w:rFonts w:ascii="Times New Roman" w:hAnsi="Times New Roman"/>
      <w:i w:val="1"/>
      <w:sz w:val="28"/>
    </w:rPr>
  </w:style>
  <w:style w:styleId="Style_4_ch" w:type="character">
    <w:name w:val="Caption"/>
    <w:basedOn w:val="Style_2_ch"/>
    <w:link w:val="Style_4"/>
    <w:rPr>
      <w:rFonts w:ascii="Times New Roman" w:hAnsi="Times New Roman"/>
      <w:i w:val="1"/>
      <w:sz w:val="28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No Spacing"/>
    <w:link w:val="Style_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_ch" w:type="character">
    <w:name w:val="No Spacing"/>
    <w:link w:val="Style_3"/>
    <w:rPr>
      <w:rFonts w:asciiTheme="minorAscii" w:hAnsiTheme="minorHAnsi"/>
      <w:color w:val="000000"/>
      <w:sz w:val="22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Верхний колонтитул Знак"/>
    <w:basedOn w:val="Style_10"/>
    <w:link w:val="Style_9_ch"/>
  </w:style>
  <w:style w:styleId="Style_9_ch" w:type="character">
    <w:name w:val="Верхний колонтитул Знак"/>
    <w:basedOn w:val="Style_10_ch"/>
    <w:link w:val="Style_9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Заголовок"/>
    <w:basedOn w:val="Style_2"/>
    <w:next w:val="Style_14"/>
    <w:link w:val="Style_13_ch"/>
    <w:pPr>
      <w:keepNext w:val="1"/>
      <w:spacing w:after="120" w:before="240"/>
      <w:ind/>
    </w:pPr>
    <w:rPr>
      <w:rFonts w:ascii="Times New Roman" w:hAnsi="Times New Roman"/>
      <w:sz w:val="32"/>
    </w:rPr>
  </w:style>
  <w:style w:styleId="Style_13_ch" w:type="character">
    <w:name w:val="Заголовок"/>
    <w:basedOn w:val="Style_2_ch"/>
    <w:link w:val="Style_13"/>
    <w:rPr>
      <w:rFonts w:ascii="Times New Roman" w:hAnsi="Times New Roman"/>
      <w:sz w:val="32"/>
    </w:rPr>
  </w:style>
  <w:style w:styleId="Style_15" w:type="paragraph">
    <w:name w:val="Текст выноски Знак"/>
    <w:basedOn w:val="Style_10"/>
    <w:link w:val="Style_15_ch"/>
    <w:rPr>
      <w:rFonts w:ascii="Calibri" w:hAnsi="Calibri"/>
      <w:sz w:val="16"/>
    </w:rPr>
  </w:style>
  <w:style w:styleId="Style_15_ch" w:type="character">
    <w:name w:val="Текст выноски Знак"/>
    <w:basedOn w:val="Style_10_ch"/>
    <w:link w:val="Style_15"/>
    <w:rPr>
      <w:rFonts w:ascii="Calibri" w:hAnsi="Calibri"/>
      <w:sz w:val="16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pPr>
      <w:spacing w:after="0" w:before="0" w:line="240" w:lineRule="auto"/>
      <w:ind/>
    </w:pPr>
    <w:rPr>
      <w:rFonts w:ascii="Calibri" w:hAnsi="Calibri"/>
      <w:sz w:val="16"/>
    </w:rPr>
  </w:style>
  <w:style w:styleId="Style_17_ch" w:type="character">
    <w:name w:val="Balloon Text"/>
    <w:basedOn w:val="Style_2_ch"/>
    <w:link w:val="Style_17"/>
    <w:rPr>
      <w:rFonts w:ascii="Calibri" w:hAnsi="Calibri"/>
      <w:sz w:val="16"/>
    </w:rPr>
  </w:style>
  <w:style w:styleId="Style_18" w:type="paragraph">
    <w:name w:val="Указатель"/>
    <w:basedOn w:val="Style_2"/>
    <w:link w:val="Style_18_ch"/>
    <w:rPr>
      <w:rFonts w:ascii="Times New Roman" w:hAnsi="Times New Roman"/>
    </w:rPr>
  </w:style>
  <w:style w:styleId="Style_18_ch" w:type="character">
    <w:name w:val="Указатель"/>
    <w:basedOn w:val="Style_2_ch"/>
    <w:link w:val="Style_18"/>
    <w:rPr>
      <w:rFonts w:ascii="Times New Roman" w:hAnsi="Times New Roman"/>
    </w:rPr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14" w:type="paragraph">
    <w:name w:val="Body Text"/>
    <w:basedOn w:val="Style_2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2_ch"/>
    <w:link w:val="Style_14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Верхний и нижний колонтитулы"/>
    <w:basedOn w:val="Style_2"/>
    <w:link w:val="Style_28_ch"/>
  </w:style>
  <w:style w:styleId="Style_28_ch" w:type="character">
    <w:name w:val="Верхний и нижний колонтитулы"/>
    <w:basedOn w:val="Style_2_ch"/>
    <w:link w:val="Style_28"/>
  </w:style>
  <w:style w:styleId="Style_29" w:type="paragraph">
    <w:name w:val="List"/>
    <w:basedOn w:val="Style_14"/>
    <w:link w:val="Style_29_ch"/>
    <w:rPr>
      <w:rFonts w:ascii="Times New Roman" w:hAnsi="Times New Roman"/>
    </w:rPr>
  </w:style>
  <w:style w:styleId="Style_29_ch" w:type="character">
    <w:name w:val="List"/>
    <w:basedOn w:val="Style_14_ch"/>
    <w:link w:val="Style_29"/>
    <w:rPr>
      <w:rFonts w:ascii="Times New Roman" w:hAnsi="Times New Roman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2024-07-08T11:03:11Z</dcterms:modified>
</cp:coreProperties>
</file>