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1F18FC">
        <w:rPr>
          <w:b/>
          <w:sz w:val="28"/>
          <w:szCs w:val="28"/>
        </w:rPr>
        <w:t xml:space="preserve"> № 102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5475E" w:rsidRPr="00EA6C80" w:rsidRDefault="00C5475E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1F18FC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17</w:t>
      </w:r>
      <w:r w:rsidR="009F1E9F">
        <w:t xml:space="preserve"> но</w:t>
      </w:r>
      <w:r w:rsidR="00376B5F">
        <w:t>ября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5475E" w:rsidRPr="00EA6C80" w:rsidRDefault="00C5475E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Pr="007D119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«О предоставлении разрешений на условно разрешенный вид ис</w:t>
      </w:r>
      <w:r>
        <w:rPr>
          <w:color w:val="000000" w:themeColor="text1"/>
        </w:rPr>
        <w:t>пользования земельных участков»,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376B5F" w:rsidRPr="004C358C">
        <w:rPr>
          <w:color w:val="000000" w:themeColor="text1"/>
        </w:rPr>
        <w:t xml:space="preserve">от </w:t>
      </w:r>
      <w:r w:rsidR="001F18FC">
        <w:rPr>
          <w:color w:val="000000" w:themeColor="text1"/>
        </w:rPr>
        <w:t>24 октября</w:t>
      </w:r>
      <w:r w:rsidR="006D23E5" w:rsidRPr="00AC2A59">
        <w:rPr>
          <w:color w:val="000000" w:themeColor="text1"/>
        </w:rPr>
        <w:t xml:space="preserve"> 2025 г. № </w:t>
      </w:r>
      <w:r w:rsidR="001F18FC">
        <w:rPr>
          <w:color w:val="000000" w:themeColor="text1"/>
        </w:rPr>
        <w:t xml:space="preserve">2939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1F18FC" w:rsidRPr="003E69C6" w:rsidRDefault="001F18FC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Pr="007D119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1F18FC">
        <w:rPr>
          <w:rFonts w:ascii="Times New Roman" w:hAnsi="Times New Roman" w:cs="Times New Roman"/>
          <w:sz w:val="28"/>
          <w:szCs w:val="28"/>
        </w:rPr>
        <w:t>участники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1F18FC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1F18FC" w:rsidRPr="003E69C6" w:rsidRDefault="001F18FC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1F18FC">
        <w:rPr>
          <w:rFonts w:ascii="Times New Roman" w:hAnsi="Times New Roman" w:cs="Times New Roman"/>
          <w:sz w:val="28"/>
          <w:szCs w:val="28"/>
        </w:rPr>
        <w:t>13 ноября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1F18FC">
        <w:rPr>
          <w:rFonts w:ascii="Times New Roman" w:hAnsi="Times New Roman" w:cs="Times New Roman"/>
          <w:sz w:val="28"/>
          <w:szCs w:val="28"/>
        </w:rPr>
        <w:t>101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1F18FC" w:rsidRPr="003E69C6" w:rsidRDefault="001F18FC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3E69C6" w:rsidRDefault="00227F65" w:rsidP="003E69C6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C5475E" w:rsidRPr="00EA6C80" w:rsidTr="00C5475E">
        <w:trPr>
          <w:trHeight w:val="879"/>
        </w:trPr>
        <w:tc>
          <w:tcPr>
            <w:tcW w:w="601" w:type="dxa"/>
          </w:tcPr>
          <w:p w:rsidR="00C5475E" w:rsidRDefault="001F18FC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C5475E" w:rsidRDefault="001F18FC" w:rsidP="006D23E5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:rsidR="00C5475E" w:rsidRPr="00EA6C80" w:rsidRDefault="001F18FC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3E69C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16"/>
          <w:szCs w:val="16"/>
        </w:rPr>
      </w:pPr>
    </w:p>
    <w:p w:rsidR="006D23E5" w:rsidRPr="0018159B" w:rsidRDefault="00BA4760" w:rsidP="001F18F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</w:t>
      </w:r>
      <w:r w:rsidRPr="0018159B">
        <w:rPr>
          <w:rFonts w:ascii="Times New Roman" w:hAnsi="Times New Roman" w:cs="Times New Roman"/>
          <w:b/>
          <w:sz w:val="28"/>
          <w:szCs w:val="28"/>
        </w:rPr>
        <w:t>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AC2E97" w:rsidRPr="0018159B" w:rsidRDefault="001F18FC" w:rsidP="006D23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 w:rsidRPr="0018159B">
        <w:rPr>
          <w:color w:val="000000" w:themeColor="text1"/>
        </w:rPr>
        <w:t>Отсутствуют.</w:t>
      </w:r>
    </w:p>
    <w:p w:rsidR="006D23E5" w:rsidRPr="003E69C6" w:rsidRDefault="006D23E5" w:rsidP="006D23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  <w:sz w:val="20"/>
          <w:szCs w:val="20"/>
        </w:rPr>
      </w:pPr>
    </w:p>
    <w:p w:rsidR="00AC2E97" w:rsidRPr="003E69C6" w:rsidRDefault="00BA4760" w:rsidP="00AC2E9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9C6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3E69C6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FF0F20" w:rsidRPr="003E69C6" w:rsidRDefault="00454A57" w:rsidP="003E69C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3E69C6">
        <w:rPr>
          <w:sz w:val="28"/>
          <w:szCs w:val="28"/>
        </w:rPr>
        <w:t>Комиссией по подготовке проекта правил землепользования и застройки Туапсинского муниципального округа принято решение рекомендовать главе Туапсинского муниципального округа принять решение:</w:t>
      </w:r>
    </w:p>
    <w:p w:rsidR="0018159B" w:rsidRPr="003E69C6" w:rsidRDefault="004600DD" w:rsidP="0018159B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  <w:highlight w:val="yellow"/>
        </w:rPr>
      </w:pPr>
      <w:r w:rsidRPr="003E69C6">
        <w:rPr>
          <w:b/>
          <w:sz w:val="28"/>
          <w:szCs w:val="28"/>
        </w:rPr>
        <w:t xml:space="preserve">по пункту 1 </w:t>
      </w:r>
      <w:r w:rsidRPr="003E69C6">
        <w:rPr>
          <w:sz w:val="28"/>
          <w:szCs w:val="28"/>
        </w:rPr>
        <w:t xml:space="preserve">Проекта отказать </w:t>
      </w:r>
      <w:r w:rsidR="0018159B" w:rsidRPr="003E69C6">
        <w:rPr>
          <w:sz w:val="28"/>
          <w:szCs w:val="28"/>
        </w:rPr>
        <w:t xml:space="preserve">Володиной Владе Алексеевне                            в предоставлении разрешения на условно разрешенный вид использования земельного участка </w:t>
      </w:r>
      <w:r w:rsidR="0018159B" w:rsidRPr="003E69C6">
        <w:rPr>
          <w:color w:val="000000" w:themeColor="text1"/>
          <w:sz w:val="28"/>
          <w:szCs w:val="28"/>
        </w:rPr>
        <w:t xml:space="preserve">с кадастровым номером </w:t>
      </w:r>
      <w:r w:rsidR="0018159B" w:rsidRPr="003E69C6">
        <w:rPr>
          <w:sz w:val="28"/>
          <w:szCs w:val="28"/>
        </w:rPr>
        <w:t>23:51:0201003:3663,</w:t>
      </w:r>
      <w:r w:rsidR="0018159B" w:rsidRPr="003E69C6">
        <w:rPr>
          <w:color w:val="000000" w:themeColor="text1"/>
          <w:sz w:val="28"/>
          <w:szCs w:val="28"/>
        </w:rPr>
        <w:t xml:space="preserve"> в связи с тем, что вид права земельного участка с кадастровым номером </w:t>
      </w:r>
      <w:r w:rsidR="0018159B" w:rsidRPr="003E69C6">
        <w:rPr>
          <w:sz w:val="28"/>
          <w:szCs w:val="28"/>
        </w:rPr>
        <w:t>23:51:0201003:3663</w:t>
      </w:r>
      <w:r w:rsidR="0018159B" w:rsidRPr="003E69C6">
        <w:rPr>
          <w:color w:val="000000" w:themeColor="text1"/>
          <w:sz w:val="28"/>
          <w:szCs w:val="28"/>
        </w:rPr>
        <w:t xml:space="preserve"> – аренда. Согласно </w:t>
      </w:r>
      <w:r w:rsidR="0018159B" w:rsidRPr="003E69C6">
        <w:rPr>
          <w:color w:val="000000" w:themeColor="text1"/>
          <w:sz w:val="28"/>
          <w:szCs w:val="28"/>
          <w:lang w:eastAsia="ar-SA"/>
        </w:rPr>
        <w:t>договора аренды земельного участка</w:t>
      </w:r>
      <w:r w:rsidR="0018159B" w:rsidRPr="003E69C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174C" w:rsidRPr="003E69C6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1C174C" w:rsidRPr="003E69C6">
        <w:rPr>
          <w:sz w:val="28"/>
          <w:szCs w:val="28"/>
        </w:rPr>
        <w:t xml:space="preserve">16 ноября 2016 г.               </w:t>
      </w:r>
      <w:r w:rsidR="001C174C" w:rsidRPr="003E69C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174C" w:rsidRPr="003E69C6">
        <w:rPr>
          <w:sz w:val="28"/>
          <w:szCs w:val="28"/>
        </w:rPr>
        <w:lastRenderedPageBreak/>
        <w:t xml:space="preserve">№ 5100008698 </w:t>
      </w:r>
      <w:r w:rsidR="0018159B" w:rsidRPr="003E69C6">
        <w:rPr>
          <w:color w:val="000000" w:themeColor="text1"/>
          <w:sz w:val="28"/>
          <w:szCs w:val="28"/>
          <w:shd w:val="clear" w:color="auto" w:fill="FFFFFF"/>
        </w:rPr>
        <w:t xml:space="preserve">арендатор </w:t>
      </w:r>
      <w:r w:rsidR="0018159B" w:rsidRPr="003E69C6">
        <w:rPr>
          <w:color w:val="000000" w:themeColor="text1"/>
          <w:sz w:val="28"/>
          <w:szCs w:val="28"/>
        </w:rPr>
        <w:t xml:space="preserve">до окончания срока действия договора аренды </w:t>
      </w:r>
      <w:r w:rsidR="001C174C" w:rsidRPr="003E69C6">
        <w:rPr>
          <w:color w:val="000000" w:themeColor="text1"/>
          <w:sz w:val="28"/>
          <w:szCs w:val="28"/>
        </w:rPr>
        <w:t xml:space="preserve">                 </w:t>
      </w:r>
      <w:r w:rsidR="0018159B" w:rsidRPr="003E69C6">
        <w:rPr>
          <w:color w:val="000000" w:themeColor="text1"/>
          <w:sz w:val="28"/>
          <w:szCs w:val="28"/>
        </w:rPr>
        <w:t>обязан использовать земельный участок</w:t>
      </w:r>
      <w:r w:rsidR="001C174C" w:rsidRPr="003E69C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8159B" w:rsidRPr="003E69C6">
        <w:rPr>
          <w:color w:val="000000" w:themeColor="text1"/>
          <w:sz w:val="28"/>
          <w:szCs w:val="28"/>
        </w:rPr>
        <w:t>в соответствии с видом разрешенного использования земельного участка. Условиями заключенного договора аренды не предусмотрено изменение вида разрешенного использования земельного участка</w:t>
      </w:r>
      <w:r w:rsidR="003E69C6" w:rsidRPr="003E69C6">
        <w:rPr>
          <w:color w:val="000000" w:themeColor="text1"/>
          <w:sz w:val="28"/>
          <w:szCs w:val="28"/>
        </w:rPr>
        <w:t>;</w:t>
      </w:r>
    </w:p>
    <w:p w:rsidR="009054AC" w:rsidRDefault="0018159B" w:rsidP="00F20A59">
      <w:pPr>
        <w:widowControl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E69C6">
        <w:rPr>
          <w:b/>
          <w:sz w:val="28"/>
          <w:szCs w:val="28"/>
        </w:rPr>
        <w:t xml:space="preserve">по пункту 2 </w:t>
      </w:r>
      <w:r w:rsidRPr="003E69C6">
        <w:rPr>
          <w:sz w:val="28"/>
          <w:szCs w:val="28"/>
        </w:rPr>
        <w:t xml:space="preserve">Проекта отказать Дащян Кристине Карекиновне                               в </w:t>
      </w:r>
      <w:r w:rsidRPr="003E69C6">
        <w:rPr>
          <w:color w:val="000000" w:themeColor="text1"/>
          <w:sz w:val="28"/>
          <w:szCs w:val="28"/>
        </w:rPr>
        <w:t>предоставлении разрешения на условно разрешенный вид использования земельного участка с кадастровым номером 23:51:0202006:1862</w:t>
      </w:r>
      <w:r w:rsidR="00337E13" w:rsidRPr="003E69C6">
        <w:rPr>
          <w:color w:val="000000" w:themeColor="text1"/>
          <w:sz w:val="28"/>
          <w:szCs w:val="28"/>
        </w:rPr>
        <w:t xml:space="preserve">. </w:t>
      </w:r>
    </w:p>
    <w:p w:rsidR="005F7084" w:rsidRPr="003E69C6" w:rsidRDefault="00AB5C94" w:rsidP="00972C6D">
      <w:pPr>
        <w:widowControl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Испрашиваемый в</w:t>
      </w:r>
      <w:r w:rsidR="009054AC">
        <w:rPr>
          <w:color w:val="000000" w:themeColor="text1"/>
          <w:sz w:val="28"/>
          <w:szCs w:val="28"/>
        </w:rPr>
        <w:t>ид разрешенного использования земельного участка</w:t>
      </w:r>
      <w:r w:rsidR="00972C6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</w:t>
      </w:r>
      <w:r w:rsidRPr="003E69C6">
        <w:rPr>
          <w:color w:val="000000" w:themeColor="text1"/>
          <w:sz w:val="28"/>
          <w:szCs w:val="28"/>
        </w:rPr>
        <w:t>с кадастровым номером 23:51:0202006:1862</w:t>
      </w:r>
      <w:r>
        <w:rPr>
          <w:color w:val="000000" w:themeColor="text1"/>
          <w:sz w:val="28"/>
          <w:szCs w:val="28"/>
        </w:rPr>
        <w:t xml:space="preserve"> </w:t>
      </w:r>
      <w:r w:rsidR="009054AC">
        <w:rPr>
          <w:color w:val="000000" w:themeColor="text1"/>
          <w:sz w:val="28"/>
          <w:szCs w:val="28"/>
        </w:rPr>
        <w:t>и планируемые</w:t>
      </w:r>
      <w:r>
        <w:rPr>
          <w:color w:val="000000" w:themeColor="text1"/>
          <w:sz w:val="28"/>
          <w:szCs w:val="28"/>
        </w:rPr>
        <w:t xml:space="preserve"> </w:t>
      </w:r>
      <w:r w:rsidR="009054AC">
        <w:rPr>
          <w:color w:val="000000" w:themeColor="text1"/>
          <w:sz w:val="28"/>
          <w:szCs w:val="28"/>
        </w:rPr>
        <w:t>к размещению объекты</w:t>
      </w:r>
      <w:r w:rsidR="00972C6D">
        <w:rPr>
          <w:color w:val="000000" w:themeColor="text1"/>
          <w:sz w:val="28"/>
          <w:szCs w:val="28"/>
        </w:rPr>
        <w:t xml:space="preserve"> на земельном участке с целью </w:t>
      </w:r>
      <w:r w:rsidR="00F01B36">
        <w:rPr>
          <w:color w:val="000000" w:themeColor="text1"/>
          <w:sz w:val="28"/>
          <w:szCs w:val="28"/>
        </w:rPr>
        <w:t>ремонта</w:t>
      </w:r>
      <w:bookmarkStart w:id="0" w:name="_GoBack"/>
      <w:bookmarkEnd w:id="0"/>
      <w:r w:rsidR="00972C6D">
        <w:rPr>
          <w:color w:val="000000" w:themeColor="text1"/>
          <w:sz w:val="28"/>
          <w:szCs w:val="28"/>
        </w:rPr>
        <w:t xml:space="preserve"> автомобилей</w:t>
      </w:r>
      <w:r>
        <w:rPr>
          <w:color w:val="000000" w:themeColor="text1"/>
          <w:sz w:val="28"/>
          <w:szCs w:val="28"/>
        </w:rPr>
        <w:t xml:space="preserve"> </w:t>
      </w:r>
      <w:r w:rsidR="009054AC">
        <w:rPr>
          <w:color w:val="000000" w:themeColor="text1"/>
          <w:sz w:val="28"/>
          <w:szCs w:val="28"/>
        </w:rPr>
        <w:t>явля</w:t>
      </w:r>
      <w:r w:rsidR="00972C6D">
        <w:rPr>
          <w:color w:val="000000" w:themeColor="text1"/>
          <w:sz w:val="28"/>
          <w:szCs w:val="28"/>
        </w:rPr>
        <w:t>ю</w:t>
      </w:r>
      <w:r w:rsidR="009054AC">
        <w:rPr>
          <w:color w:val="000000" w:themeColor="text1"/>
          <w:sz w:val="28"/>
          <w:szCs w:val="28"/>
        </w:rPr>
        <w:t xml:space="preserve">тся источником </w:t>
      </w:r>
      <w:r w:rsidR="009054AC" w:rsidRPr="00972C6D">
        <w:rPr>
          <w:color w:val="000000" w:themeColor="text1"/>
          <w:sz w:val="28"/>
          <w:szCs w:val="28"/>
          <w:shd w:val="clear" w:color="auto" w:fill="FFFFFF"/>
        </w:rPr>
        <w:t>воздействия на среду обитания и здоровье человека.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</w:t>
      </w:r>
      <w:r w:rsidR="009054AC" w:rsidRPr="00972C6D">
        <w:rPr>
          <w:color w:val="000000" w:themeColor="text1"/>
          <w:sz w:val="28"/>
          <w:szCs w:val="28"/>
          <w:shd w:val="clear" w:color="auto" w:fill="FFFFFF"/>
        </w:rPr>
        <w:t>В соответствии с</w:t>
      </w:r>
      <w:r w:rsidR="009054AC">
        <w:rPr>
          <w:rFonts w:ascii="PT Serif" w:hAnsi="PT Serif"/>
          <w:color w:val="464C55"/>
          <w:shd w:val="clear" w:color="auto" w:fill="FFFFFF"/>
        </w:rPr>
        <w:t xml:space="preserve"> </w:t>
      </w:r>
      <w:r w:rsidR="009054AC" w:rsidRPr="003E69C6">
        <w:rPr>
          <w:rFonts w:eastAsiaTheme="minorHAnsi"/>
          <w:color w:val="000000" w:themeColor="text1"/>
          <w:sz w:val="28"/>
          <w:szCs w:val="28"/>
        </w:rPr>
        <w:t>п</w:t>
      </w:r>
      <w:r w:rsidR="009054AC" w:rsidRPr="003E69C6">
        <w:rPr>
          <w:color w:val="000000" w:themeColor="text1"/>
          <w:sz w:val="28"/>
          <w:szCs w:val="28"/>
        </w:rPr>
        <w:t>остановлением</w:t>
      </w:r>
      <w:r w:rsidR="009054AC">
        <w:rPr>
          <w:color w:val="000000" w:themeColor="text1"/>
          <w:sz w:val="28"/>
          <w:szCs w:val="28"/>
        </w:rPr>
        <w:t xml:space="preserve"> </w:t>
      </w:r>
      <w:r w:rsidR="009054AC" w:rsidRPr="003E69C6">
        <w:rPr>
          <w:color w:val="000000" w:themeColor="text1"/>
          <w:sz w:val="28"/>
          <w:szCs w:val="28"/>
        </w:rPr>
        <w:t xml:space="preserve">Главного государственного санитарного врача Российской Федерации от 25 сентября 2007 г. № 74 о введении в действие новой редакции </w:t>
      </w:r>
      <w:r w:rsidR="009054AC" w:rsidRPr="009054AC">
        <w:rPr>
          <w:color w:val="000000" w:themeColor="text1"/>
          <w:sz w:val="28"/>
          <w:szCs w:val="28"/>
        </w:rPr>
        <w:t>санитарно-эпидемиологических правил и нормативов</w:t>
      </w:r>
      <w:r w:rsidR="00972C6D">
        <w:rPr>
          <w:color w:val="000000" w:themeColor="text1"/>
          <w:sz w:val="28"/>
          <w:szCs w:val="28"/>
        </w:rPr>
        <w:t xml:space="preserve">                       </w:t>
      </w:r>
      <w:r w:rsidR="009054AC" w:rsidRPr="009054AC">
        <w:rPr>
          <w:color w:val="000000" w:themeColor="text1"/>
          <w:sz w:val="28"/>
          <w:szCs w:val="28"/>
        </w:rPr>
        <w:t xml:space="preserve"> СанПиН 2.2.1/2.1.1.1200-03 «Санитарно-защитные зоны и санитарная классификация предприятий, сооружений и иных объектов» требуется установление специальной территории с особы</w:t>
      </w:r>
      <w:r w:rsidR="009054AC" w:rsidRPr="009054AC">
        <w:rPr>
          <w:color w:val="000000" w:themeColor="text1"/>
          <w:sz w:val="28"/>
          <w:szCs w:val="28"/>
          <w:shd w:val="clear" w:color="auto" w:fill="FFFFFF"/>
        </w:rPr>
        <w:t>м режимом использования (Санитарная защитная зона)</w:t>
      </w:r>
      <w:r w:rsidR="00972C6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337E13" w:rsidRPr="003E69C6">
        <w:rPr>
          <w:rFonts w:eastAsiaTheme="minorHAnsi"/>
          <w:color w:val="000000" w:themeColor="text1"/>
          <w:sz w:val="28"/>
          <w:szCs w:val="28"/>
        </w:rPr>
        <w:t>размер которой обеспечит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</w:t>
      </w:r>
      <w:r w:rsidR="00F20A59" w:rsidRPr="003E69C6">
        <w:rPr>
          <w:rFonts w:eastAsiaTheme="minorHAnsi"/>
          <w:color w:val="000000" w:themeColor="text1"/>
          <w:sz w:val="28"/>
          <w:szCs w:val="28"/>
        </w:rPr>
        <w:t xml:space="preserve">, так как </w:t>
      </w:r>
      <w:r w:rsidR="00F20A59" w:rsidRPr="003E69C6">
        <w:rPr>
          <w:color w:val="000000" w:themeColor="text1"/>
          <w:sz w:val="28"/>
          <w:szCs w:val="28"/>
          <w:shd w:val="clear" w:color="auto" w:fill="FFFFFF"/>
        </w:rPr>
        <w:t>санитарно-защитная зона является защитным барьером, обеспечивающим уровень безопасности населения при эксплуатации объекта</w:t>
      </w:r>
      <w:r w:rsidR="00972C6D">
        <w:rPr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="00F20A59" w:rsidRPr="003E69C6">
        <w:rPr>
          <w:color w:val="000000" w:themeColor="text1"/>
          <w:sz w:val="28"/>
          <w:szCs w:val="28"/>
          <w:shd w:val="clear" w:color="auto" w:fill="FFFFFF"/>
        </w:rPr>
        <w:t xml:space="preserve"> в штатном режиме.</w:t>
      </w:r>
    </w:p>
    <w:p w:rsidR="000066A9" w:rsidRPr="003E69C6" w:rsidRDefault="00926FCE" w:rsidP="00926FCE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3E69C6">
        <w:rPr>
          <w:b/>
          <w:sz w:val="28"/>
          <w:szCs w:val="28"/>
        </w:rPr>
        <w:t xml:space="preserve">по пункту 3 </w:t>
      </w:r>
      <w:r w:rsidRPr="003E69C6">
        <w:rPr>
          <w:sz w:val="28"/>
          <w:szCs w:val="28"/>
        </w:rPr>
        <w:t>Проекта предоставить Аширяну Титалу Шарафовичу</w:t>
      </w:r>
      <w:r w:rsidRPr="003E69C6">
        <w:rPr>
          <w:color w:val="000000" w:themeColor="text1"/>
          <w:sz w:val="28"/>
          <w:szCs w:val="28"/>
        </w:rPr>
        <w:t xml:space="preserve"> </w:t>
      </w:r>
      <w:r w:rsidR="000066A9" w:rsidRPr="003E69C6">
        <w:rPr>
          <w:color w:val="000000" w:themeColor="text1"/>
          <w:sz w:val="28"/>
          <w:szCs w:val="28"/>
        </w:rPr>
        <w:t xml:space="preserve">испрашиваемое разрешение на условно разрешенный вид использования земельного участка с кадастровым номером </w:t>
      </w:r>
      <w:r w:rsidRPr="003E69C6">
        <w:rPr>
          <w:sz w:val="28"/>
          <w:szCs w:val="28"/>
        </w:rPr>
        <w:t>23:33:0606012:195</w:t>
      </w:r>
      <w:r w:rsidR="003E69C6" w:rsidRPr="003E69C6">
        <w:rPr>
          <w:sz w:val="28"/>
          <w:szCs w:val="28"/>
        </w:rPr>
        <w:t>;</w:t>
      </w:r>
    </w:p>
    <w:p w:rsidR="004600DD" w:rsidRPr="003E69C6" w:rsidRDefault="004600DD" w:rsidP="00926FC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3E69C6">
        <w:rPr>
          <w:b/>
          <w:sz w:val="28"/>
          <w:szCs w:val="28"/>
        </w:rPr>
        <w:t xml:space="preserve">по пункту </w:t>
      </w:r>
      <w:r w:rsidR="00926FCE" w:rsidRPr="003E69C6">
        <w:rPr>
          <w:b/>
          <w:sz w:val="28"/>
          <w:szCs w:val="28"/>
        </w:rPr>
        <w:t>4</w:t>
      </w:r>
      <w:r w:rsidRPr="003E69C6">
        <w:rPr>
          <w:sz w:val="28"/>
          <w:szCs w:val="28"/>
        </w:rPr>
        <w:t xml:space="preserve"> Проекта отказать </w:t>
      </w:r>
      <w:r w:rsidR="00926FCE" w:rsidRPr="003E69C6">
        <w:rPr>
          <w:sz w:val="28"/>
          <w:szCs w:val="28"/>
        </w:rPr>
        <w:t xml:space="preserve">Сопик Александру Владимировичу                         </w:t>
      </w:r>
      <w:r w:rsidRPr="003E69C6">
        <w:rPr>
          <w:sz w:val="28"/>
          <w:szCs w:val="28"/>
        </w:rPr>
        <w:t>в предоставлении разрешения на условно разрешенный вид использования земельного участка</w:t>
      </w:r>
      <w:r w:rsidR="00926FCE" w:rsidRPr="003E69C6">
        <w:rPr>
          <w:sz w:val="28"/>
          <w:szCs w:val="28"/>
        </w:rPr>
        <w:t xml:space="preserve"> </w:t>
      </w:r>
      <w:r w:rsidR="00926FCE" w:rsidRPr="003E69C6">
        <w:rPr>
          <w:color w:val="000000" w:themeColor="text1"/>
          <w:sz w:val="28"/>
          <w:szCs w:val="28"/>
        </w:rPr>
        <w:t xml:space="preserve">с кадастровым номером </w:t>
      </w:r>
      <w:r w:rsidR="00926FCE" w:rsidRPr="003E69C6">
        <w:rPr>
          <w:sz w:val="28"/>
          <w:szCs w:val="28"/>
        </w:rPr>
        <w:t>23:33:0107003:2811</w:t>
      </w:r>
      <w:r w:rsidRPr="003E69C6">
        <w:rPr>
          <w:sz w:val="28"/>
          <w:szCs w:val="28"/>
        </w:rPr>
        <w:t xml:space="preserve">, </w:t>
      </w:r>
      <w:r w:rsidR="00926FCE" w:rsidRPr="003E69C6">
        <w:rPr>
          <w:sz w:val="28"/>
          <w:szCs w:val="28"/>
        </w:rPr>
        <w:t xml:space="preserve">в связи                     </w:t>
      </w:r>
      <w:r w:rsidR="00926FCE" w:rsidRPr="003E69C6">
        <w:rPr>
          <w:color w:val="000000" w:themeColor="text1"/>
          <w:sz w:val="28"/>
          <w:szCs w:val="28"/>
        </w:rPr>
        <w:t>с невозможностью размещения объекта капитального строительства                           с соблюдением градостроительного регламента правил землепользования                    и застройки Новомихайловского городского поселения Туапсинского района</w:t>
      </w:r>
      <w:r w:rsidR="00CF4D4F" w:rsidRPr="003E69C6">
        <w:rPr>
          <w:color w:val="000000" w:themeColor="text1"/>
          <w:sz w:val="28"/>
          <w:szCs w:val="28"/>
        </w:rPr>
        <w:t xml:space="preserve"> </w:t>
      </w:r>
      <w:r w:rsidR="003E69C6" w:rsidRPr="003E69C6">
        <w:rPr>
          <w:color w:val="000000" w:themeColor="text1"/>
          <w:sz w:val="28"/>
          <w:szCs w:val="28"/>
        </w:rPr>
        <w:t xml:space="preserve">     </w:t>
      </w:r>
      <w:r w:rsidR="00CF4D4F" w:rsidRPr="003E69C6">
        <w:rPr>
          <w:color w:val="000000" w:themeColor="text1"/>
          <w:sz w:val="28"/>
          <w:szCs w:val="28"/>
        </w:rPr>
        <w:t>на земельном участке с испрашиваемым видом разрешенного использования - «Для индивиду</w:t>
      </w:r>
      <w:r w:rsidR="003E69C6" w:rsidRPr="003E69C6">
        <w:rPr>
          <w:color w:val="000000" w:themeColor="text1"/>
          <w:sz w:val="28"/>
          <w:szCs w:val="28"/>
        </w:rPr>
        <w:t>ального жилищного строительства</w:t>
      </w:r>
      <w:r w:rsidR="00CF4D4F" w:rsidRPr="003E69C6">
        <w:rPr>
          <w:color w:val="000000" w:themeColor="text1"/>
          <w:sz w:val="28"/>
          <w:szCs w:val="28"/>
        </w:rPr>
        <w:t>»</w:t>
      </w:r>
      <w:r w:rsidR="003E69C6" w:rsidRPr="003E69C6">
        <w:rPr>
          <w:color w:val="000000" w:themeColor="text1"/>
          <w:sz w:val="28"/>
          <w:szCs w:val="28"/>
        </w:rPr>
        <w:t>;</w:t>
      </w:r>
    </w:p>
    <w:p w:rsidR="00FB23D4" w:rsidRPr="003E69C6" w:rsidRDefault="00926FCE" w:rsidP="008512CA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3E69C6">
        <w:rPr>
          <w:b/>
          <w:sz w:val="28"/>
          <w:szCs w:val="28"/>
        </w:rPr>
        <w:t>по пункту 5</w:t>
      </w:r>
      <w:r w:rsidRPr="003E69C6">
        <w:rPr>
          <w:sz w:val="28"/>
          <w:szCs w:val="28"/>
        </w:rPr>
        <w:t xml:space="preserve"> Проекта отказать Сопик Александру Владимировичу                         в предоставлении разрешения на условно разрешенный вид использования земельного участка </w:t>
      </w:r>
      <w:r w:rsidRPr="003E69C6">
        <w:rPr>
          <w:color w:val="000000" w:themeColor="text1"/>
          <w:sz w:val="28"/>
          <w:szCs w:val="28"/>
        </w:rPr>
        <w:t xml:space="preserve">с кадастровым номером </w:t>
      </w:r>
      <w:r w:rsidRPr="003E69C6">
        <w:rPr>
          <w:sz w:val="28"/>
          <w:szCs w:val="28"/>
        </w:rPr>
        <w:t>23:33:0107003:3081</w:t>
      </w:r>
      <w:r w:rsidR="00FB23D4" w:rsidRPr="003E69C6">
        <w:rPr>
          <w:sz w:val="28"/>
          <w:szCs w:val="28"/>
        </w:rPr>
        <w:t>. С</w:t>
      </w:r>
      <w:r w:rsidR="00FB23D4" w:rsidRPr="003E69C6">
        <w:rPr>
          <w:color w:val="000000" w:themeColor="text1"/>
          <w:sz w:val="28"/>
          <w:szCs w:val="28"/>
        </w:rPr>
        <w:t>огласно выписк</w:t>
      </w:r>
      <w:r w:rsidR="008512CA" w:rsidRPr="003E69C6">
        <w:rPr>
          <w:color w:val="000000" w:themeColor="text1"/>
          <w:sz w:val="28"/>
          <w:szCs w:val="28"/>
        </w:rPr>
        <w:t>е</w:t>
      </w:r>
      <w:r w:rsidR="00FB23D4" w:rsidRPr="003E69C6">
        <w:rPr>
          <w:color w:val="000000" w:themeColor="text1"/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                    на земельном участке с кадастровым номером </w:t>
      </w:r>
      <w:r w:rsidR="00FB23D4" w:rsidRPr="003E69C6">
        <w:rPr>
          <w:sz w:val="28"/>
          <w:szCs w:val="28"/>
        </w:rPr>
        <w:t xml:space="preserve">23:33:0107003:3081 расположен жилой дом - 6 этажей, в том числе подземных 1. </w:t>
      </w:r>
      <w:r w:rsidR="008512CA" w:rsidRPr="003E69C6">
        <w:rPr>
          <w:sz w:val="28"/>
          <w:szCs w:val="28"/>
        </w:rPr>
        <w:t xml:space="preserve">В соответствии                                    с Градостроительным кодексом Российской Федерации </w:t>
      </w:r>
      <w:r w:rsidR="008512CA" w:rsidRPr="003E69C6">
        <w:rPr>
          <w:color w:val="000000"/>
          <w:sz w:val="28"/>
          <w:szCs w:val="28"/>
          <w:shd w:val="clear" w:color="auto" w:fill="FFFFFF"/>
        </w:rPr>
        <w:t xml:space="preserve">объект индивидуального жилищного строительства - отдельно стоящее здание                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</w:t>
      </w:r>
      <w:r w:rsidR="003E69C6">
        <w:rPr>
          <w:color w:val="000000"/>
          <w:sz w:val="28"/>
          <w:szCs w:val="28"/>
          <w:shd w:val="clear" w:color="auto" w:fill="FFFFFF"/>
        </w:rPr>
        <w:t xml:space="preserve">                </w:t>
      </w:r>
      <w:r w:rsidR="008512CA" w:rsidRPr="003E69C6">
        <w:rPr>
          <w:color w:val="000000"/>
          <w:sz w:val="28"/>
          <w:szCs w:val="28"/>
          <w:shd w:val="clear" w:color="auto" w:fill="FFFFFF"/>
        </w:rPr>
        <w:lastRenderedPageBreak/>
        <w:t>и иных нужд, связанных с их проживанием в таком здании, и не предназначено для раздела на самостоятельные объекты недвижимости. Т</w:t>
      </w:r>
      <w:r w:rsidR="00DF5AF8" w:rsidRPr="003E69C6">
        <w:rPr>
          <w:color w:val="000000"/>
          <w:sz w:val="28"/>
          <w:szCs w:val="28"/>
          <w:shd w:val="clear" w:color="auto" w:fill="FFFFFF"/>
        </w:rPr>
        <w:t xml:space="preserve">аким образом, </w:t>
      </w:r>
      <w:r w:rsidR="008512CA" w:rsidRPr="003E69C6">
        <w:rPr>
          <w:color w:val="000000"/>
          <w:sz w:val="28"/>
          <w:szCs w:val="28"/>
          <w:shd w:val="clear" w:color="auto" w:fill="FFFFFF"/>
        </w:rPr>
        <w:t>предоставлени</w:t>
      </w:r>
      <w:r w:rsidR="00DF5AF8" w:rsidRPr="003E69C6">
        <w:rPr>
          <w:color w:val="000000"/>
          <w:sz w:val="28"/>
          <w:szCs w:val="28"/>
          <w:shd w:val="clear" w:color="auto" w:fill="FFFFFF"/>
        </w:rPr>
        <w:t>е</w:t>
      </w:r>
      <w:r w:rsidR="008512CA" w:rsidRPr="003E69C6">
        <w:rPr>
          <w:color w:val="000000"/>
          <w:sz w:val="28"/>
          <w:szCs w:val="28"/>
          <w:shd w:val="clear" w:color="auto" w:fill="FFFFFF"/>
        </w:rPr>
        <w:t xml:space="preserve"> испрашиваемого разрешения на условно разрешенный </w:t>
      </w:r>
      <w:r w:rsidR="003E69C6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="008512CA" w:rsidRPr="003E69C6">
        <w:rPr>
          <w:color w:val="000000"/>
          <w:sz w:val="28"/>
          <w:szCs w:val="28"/>
          <w:shd w:val="clear" w:color="auto" w:fill="FFFFFF"/>
        </w:rPr>
        <w:t xml:space="preserve">вид использования земельного участка с кадастровым номером </w:t>
      </w:r>
      <w:r w:rsidR="008512CA" w:rsidRPr="003E69C6">
        <w:rPr>
          <w:sz w:val="28"/>
          <w:szCs w:val="28"/>
        </w:rPr>
        <w:t>23:33:0107003:3081 – «Для индивидуального жилищного строительства» приведет к несоответствию требован</w:t>
      </w:r>
      <w:r w:rsidR="00DF5AF8" w:rsidRPr="003E69C6">
        <w:rPr>
          <w:sz w:val="28"/>
          <w:szCs w:val="28"/>
        </w:rPr>
        <w:t>иям</w:t>
      </w:r>
      <w:r w:rsidR="008512CA" w:rsidRPr="003E69C6">
        <w:rPr>
          <w:sz w:val="28"/>
          <w:szCs w:val="28"/>
        </w:rPr>
        <w:t xml:space="preserve"> Градостроительного кодекса Российской Федерации, технически</w:t>
      </w:r>
      <w:r w:rsidR="00DF5AF8" w:rsidRPr="003E69C6">
        <w:rPr>
          <w:sz w:val="28"/>
          <w:szCs w:val="28"/>
        </w:rPr>
        <w:t>м</w:t>
      </w:r>
      <w:r w:rsidR="008512CA" w:rsidRPr="003E69C6">
        <w:rPr>
          <w:sz w:val="28"/>
          <w:szCs w:val="28"/>
        </w:rPr>
        <w:t xml:space="preserve"> </w:t>
      </w:r>
      <w:r w:rsidR="00DF5AF8" w:rsidRPr="003E69C6">
        <w:rPr>
          <w:sz w:val="28"/>
          <w:szCs w:val="28"/>
        </w:rPr>
        <w:t>регламентам,</w:t>
      </w:r>
      <w:r w:rsidR="003E69C6">
        <w:rPr>
          <w:sz w:val="28"/>
          <w:szCs w:val="28"/>
        </w:rPr>
        <w:t xml:space="preserve"> </w:t>
      </w:r>
      <w:r w:rsidR="008512CA" w:rsidRPr="003E69C6">
        <w:rPr>
          <w:sz w:val="28"/>
          <w:szCs w:val="28"/>
        </w:rPr>
        <w:t>градостроительн</w:t>
      </w:r>
      <w:r w:rsidR="00DF5AF8" w:rsidRPr="003E69C6">
        <w:rPr>
          <w:sz w:val="28"/>
          <w:szCs w:val="28"/>
        </w:rPr>
        <w:t>ого</w:t>
      </w:r>
      <w:r w:rsidR="008512CA" w:rsidRPr="003E69C6">
        <w:rPr>
          <w:sz w:val="28"/>
          <w:szCs w:val="28"/>
        </w:rPr>
        <w:t xml:space="preserve"> регламен</w:t>
      </w:r>
      <w:r w:rsidR="00DF5AF8" w:rsidRPr="003E69C6">
        <w:rPr>
          <w:sz w:val="28"/>
          <w:szCs w:val="28"/>
        </w:rPr>
        <w:t>та</w:t>
      </w:r>
      <w:r w:rsidR="008512CA" w:rsidRPr="003E69C6">
        <w:rPr>
          <w:sz w:val="28"/>
          <w:szCs w:val="28"/>
        </w:rPr>
        <w:t xml:space="preserve"> правил землепользования и застройки Новомихайловского городского поселения Туапсинского района</w:t>
      </w:r>
      <w:r w:rsidR="003E69C6">
        <w:rPr>
          <w:sz w:val="28"/>
          <w:szCs w:val="28"/>
        </w:rPr>
        <w:t xml:space="preserve"> </w:t>
      </w:r>
      <w:r w:rsidR="00DF5AF8" w:rsidRPr="003E69C6">
        <w:rPr>
          <w:sz w:val="28"/>
          <w:szCs w:val="28"/>
        </w:rPr>
        <w:t>к размещенному на земельном участке объекту недвижимости</w:t>
      </w:r>
      <w:r w:rsidR="008512CA" w:rsidRPr="003E69C6">
        <w:rPr>
          <w:sz w:val="28"/>
          <w:szCs w:val="28"/>
        </w:rPr>
        <w:t xml:space="preserve">.   </w:t>
      </w:r>
    </w:p>
    <w:p w:rsidR="008B3107" w:rsidRPr="003E69C6" w:rsidRDefault="008B3107" w:rsidP="00E91866">
      <w:pPr>
        <w:tabs>
          <w:tab w:val="left" w:pos="3402"/>
          <w:tab w:val="left" w:pos="5712"/>
        </w:tabs>
        <w:jc w:val="both"/>
        <w:rPr>
          <w:color w:val="000000" w:themeColor="text1"/>
          <w:sz w:val="28"/>
          <w:szCs w:val="28"/>
        </w:rPr>
      </w:pPr>
    </w:p>
    <w:p w:rsidR="00D47685" w:rsidRPr="003E69C6" w:rsidRDefault="00EA6C80" w:rsidP="00D4768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3E69C6">
        <w:rPr>
          <w:sz w:val="28"/>
          <w:szCs w:val="28"/>
        </w:rPr>
        <w:t>Голосовали:</w:t>
      </w:r>
    </w:p>
    <w:p w:rsidR="008B3107" w:rsidRPr="003E69C6" w:rsidRDefault="00F71AE9" w:rsidP="003E69C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3E69C6">
        <w:rPr>
          <w:b/>
          <w:sz w:val="28"/>
          <w:szCs w:val="28"/>
        </w:rPr>
        <w:t>по пункт</w:t>
      </w:r>
      <w:r w:rsidR="00926FCE" w:rsidRPr="003E69C6">
        <w:rPr>
          <w:b/>
          <w:sz w:val="28"/>
          <w:szCs w:val="28"/>
        </w:rPr>
        <w:t>ам</w:t>
      </w:r>
      <w:r w:rsidRPr="003E69C6">
        <w:rPr>
          <w:b/>
          <w:sz w:val="28"/>
          <w:szCs w:val="28"/>
        </w:rPr>
        <w:t xml:space="preserve"> 1</w:t>
      </w:r>
      <w:r w:rsidR="00926FCE" w:rsidRPr="003E69C6">
        <w:rPr>
          <w:b/>
          <w:sz w:val="28"/>
          <w:szCs w:val="28"/>
        </w:rPr>
        <w:t>, 2</w:t>
      </w:r>
      <w:r w:rsidR="008B3107" w:rsidRPr="003E69C6">
        <w:rPr>
          <w:b/>
          <w:sz w:val="28"/>
          <w:szCs w:val="28"/>
        </w:rPr>
        <w:t>, 5</w:t>
      </w:r>
      <w:r w:rsidR="00926FCE" w:rsidRPr="003E69C6">
        <w:rPr>
          <w:b/>
          <w:sz w:val="28"/>
          <w:szCs w:val="28"/>
        </w:rPr>
        <w:t xml:space="preserve"> </w:t>
      </w:r>
      <w:r w:rsidR="00926FCE" w:rsidRPr="003E69C6">
        <w:rPr>
          <w:sz w:val="28"/>
          <w:szCs w:val="28"/>
        </w:rPr>
        <w:t>Проекта</w:t>
      </w:r>
      <w:r w:rsidR="00926FCE" w:rsidRPr="003E69C6">
        <w:rPr>
          <w:b/>
          <w:sz w:val="28"/>
          <w:szCs w:val="28"/>
        </w:rPr>
        <w:t xml:space="preserve"> </w:t>
      </w:r>
      <w:r w:rsidR="008B3107" w:rsidRPr="003E69C6">
        <w:rPr>
          <w:sz w:val="28"/>
          <w:szCs w:val="28"/>
        </w:rPr>
        <w:t>голосовали</w:t>
      </w:r>
      <w:r w:rsidR="008B3107" w:rsidRPr="003E69C6">
        <w:rPr>
          <w:b/>
          <w:sz w:val="28"/>
          <w:szCs w:val="28"/>
        </w:rPr>
        <w:t xml:space="preserve"> «</w:t>
      </w:r>
      <w:r w:rsidR="008B3107" w:rsidRPr="003E69C6">
        <w:rPr>
          <w:sz w:val="28"/>
          <w:szCs w:val="28"/>
        </w:rPr>
        <w:t>ПРОТИВ» единогласно;</w:t>
      </w:r>
    </w:p>
    <w:p w:rsidR="008B3107" w:rsidRPr="003E69C6" w:rsidRDefault="008B3107" w:rsidP="008B3107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3E69C6">
        <w:rPr>
          <w:b/>
          <w:sz w:val="28"/>
          <w:szCs w:val="28"/>
        </w:rPr>
        <w:t xml:space="preserve">по пункту 3 Проекта </w:t>
      </w:r>
      <w:r w:rsidRPr="003E69C6">
        <w:rPr>
          <w:sz w:val="28"/>
          <w:szCs w:val="28"/>
        </w:rPr>
        <w:t xml:space="preserve">Воронков М.В., Мальцев В.Е., Синенко М.А., Стамбольжи М.А., Сурма Ю.А. голосовали «ЗА»,                       </w:t>
      </w:r>
    </w:p>
    <w:p w:rsidR="008B3107" w:rsidRPr="003E69C6" w:rsidRDefault="008B3107" w:rsidP="003E69C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3E69C6">
        <w:rPr>
          <w:sz w:val="28"/>
          <w:szCs w:val="28"/>
        </w:rPr>
        <w:t>Кулешова О.Е.</w:t>
      </w:r>
      <w:r w:rsidRPr="003E69C6">
        <w:rPr>
          <w:b/>
          <w:sz w:val="28"/>
          <w:szCs w:val="28"/>
        </w:rPr>
        <w:t xml:space="preserve">, </w:t>
      </w:r>
      <w:r w:rsidRPr="003E69C6">
        <w:rPr>
          <w:sz w:val="28"/>
          <w:szCs w:val="28"/>
        </w:rPr>
        <w:t>Семененко Д.Ю. голосовали «ПРОТИВ»;</w:t>
      </w:r>
    </w:p>
    <w:p w:rsidR="008B3107" w:rsidRPr="003E69C6" w:rsidRDefault="008B3107" w:rsidP="008B3107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3E69C6">
        <w:rPr>
          <w:b/>
          <w:sz w:val="28"/>
          <w:szCs w:val="28"/>
        </w:rPr>
        <w:t xml:space="preserve">по пункту 4 Проекта </w:t>
      </w:r>
      <w:r w:rsidRPr="003E69C6">
        <w:rPr>
          <w:sz w:val="28"/>
          <w:szCs w:val="28"/>
        </w:rPr>
        <w:t>Воронков М.В. голосовал «ЗА»,</w:t>
      </w:r>
    </w:p>
    <w:p w:rsidR="008B3107" w:rsidRPr="003E69C6" w:rsidRDefault="008B3107" w:rsidP="008B3107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  <w:r w:rsidRPr="003E69C6">
        <w:rPr>
          <w:sz w:val="28"/>
          <w:szCs w:val="28"/>
        </w:rPr>
        <w:t>Кулешова О.Е., Мальцев В.Е., Семененко Д.Ю., Синенко М.А., Стамбольжи М.А., Сурма Ю.А. голосовали «ПРОТИВ».</w:t>
      </w:r>
    </w:p>
    <w:p w:rsidR="008B3107" w:rsidRPr="003E69C6" w:rsidRDefault="008B3107" w:rsidP="00E9186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3E69C6" w:rsidRPr="003E69C6" w:rsidRDefault="003E69C6" w:rsidP="00E9186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1866" w:rsidRPr="003E69C6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 w:rsidRPr="003E69C6">
        <w:rPr>
          <w:sz w:val="28"/>
          <w:szCs w:val="28"/>
        </w:rPr>
        <w:t>Председатель Комиссии                                                                      Кулешова О.Е.</w:t>
      </w:r>
    </w:p>
    <w:p w:rsidR="00E91866" w:rsidRPr="003E69C6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1866" w:rsidRPr="003E69C6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 w:rsidRPr="003E69C6">
        <w:rPr>
          <w:sz w:val="28"/>
          <w:szCs w:val="28"/>
        </w:rPr>
        <w:t xml:space="preserve">Заместитель </w:t>
      </w:r>
    </w:p>
    <w:p w:rsidR="00E91866" w:rsidRPr="003E69C6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3E69C6">
        <w:rPr>
          <w:sz w:val="28"/>
          <w:szCs w:val="28"/>
        </w:rPr>
        <w:t>председателя Комиссии                                                                      Воронков М.В.</w:t>
      </w:r>
    </w:p>
    <w:p w:rsidR="00E91866" w:rsidRPr="003E69C6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1F18FC" w:rsidRPr="003E69C6" w:rsidRDefault="001F18FC" w:rsidP="001F18FC">
      <w:pPr>
        <w:tabs>
          <w:tab w:val="left" w:pos="5954"/>
        </w:tabs>
        <w:spacing w:before="198" w:line="720" w:lineRule="auto"/>
        <w:rPr>
          <w:sz w:val="28"/>
          <w:szCs w:val="28"/>
        </w:rPr>
      </w:pPr>
      <w:r w:rsidRPr="003E69C6">
        <w:rPr>
          <w:sz w:val="28"/>
          <w:szCs w:val="28"/>
        </w:rPr>
        <w:t>Члены</w:t>
      </w:r>
      <w:r w:rsidRPr="003E69C6">
        <w:rPr>
          <w:spacing w:val="-2"/>
          <w:sz w:val="28"/>
          <w:szCs w:val="28"/>
        </w:rPr>
        <w:t xml:space="preserve"> </w:t>
      </w:r>
      <w:r w:rsidRPr="003E69C6">
        <w:rPr>
          <w:sz w:val="28"/>
          <w:szCs w:val="28"/>
        </w:rPr>
        <w:t>Комиссии:                                                                                    Мальцев В.Е.</w:t>
      </w:r>
    </w:p>
    <w:p w:rsidR="001F18FC" w:rsidRPr="003E69C6" w:rsidRDefault="001F18FC" w:rsidP="001F18FC">
      <w:pPr>
        <w:tabs>
          <w:tab w:val="left" w:pos="5954"/>
        </w:tabs>
        <w:spacing w:before="198" w:line="720" w:lineRule="auto"/>
        <w:rPr>
          <w:sz w:val="28"/>
          <w:szCs w:val="28"/>
        </w:rPr>
      </w:pPr>
      <w:r w:rsidRPr="003E69C6">
        <w:rPr>
          <w:sz w:val="28"/>
          <w:szCs w:val="28"/>
        </w:rPr>
        <w:t xml:space="preserve">                                                                                                             Семененко Д.Ю.</w:t>
      </w:r>
    </w:p>
    <w:p w:rsidR="001F18FC" w:rsidRPr="003E69C6" w:rsidRDefault="001F18FC" w:rsidP="001F18FC">
      <w:pPr>
        <w:tabs>
          <w:tab w:val="left" w:pos="5954"/>
        </w:tabs>
        <w:spacing w:before="198" w:line="720" w:lineRule="auto"/>
        <w:rPr>
          <w:sz w:val="28"/>
          <w:szCs w:val="28"/>
        </w:rPr>
      </w:pPr>
      <w:r w:rsidRPr="003E69C6">
        <w:rPr>
          <w:sz w:val="28"/>
          <w:szCs w:val="28"/>
        </w:rPr>
        <w:t xml:space="preserve">                                                                                                                 Синенко М.А.</w:t>
      </w:r>
    </w:p>
    <w:p w:rsidR="001F18FC" w:rsidRPr="003E69C6" w:rsidRDefault="001F18FC" w:rsidP="001F18FC">
      <w:pPr>
        <w:tabs>
          <w:tab w:val="left" w:pos="3402"/>
          <w:tab w:val="left" w:pos="5812"/>
        </w:tabs>
        <w:spacing w:before="198" w:line="720" w:lineRule="auto"/>
        <w:rPr>
          <w:sz w:val="28"/>
          <w:szCs w:val="28"/>
        </w:rPr>
      </w:pPr>
      <w:r w:rsidRPr="003E69C6">
        <w:rPr>
          <w:sz w:val="28"/>
          <w:szCs w:val="28"/>
        </w:rPr>
        <w:t xml:space="preserve">                                                                                                          Стамбольжи М.А.</w:t>
      </w:r>
    </w:p>
    <w:p w:rsidR="00BA4760" w:rsidRPr="003E69C6" w:rsidRDefault="001F18FC" w:rsidP="003E69C6">
      <w:pPr>
        <w:tabs>
          <w:tab w:val="left" w:pos="3402"/>
          <w:tab w:val="left" w:pos="5812"/>
        </w:tabs>
        <w:spacing w:before="198" w:line="720" w:lineRule="auto"/>
        <w:rPr>
          <w:sz w:val="28"/>
          <w:szCs w:val="28"/>
        </w:rPr>
      </w:pPr>
      <w:r w:rsidRPr="003E69C6">
        <w:rPr>
          <w:sz w:val="28"/>
          <w:szCs w:val="28"/>
        </w:rPr>
        <w:t xml:space="preserve">                                                                                                                    Сурма Ю.А.</w:t>
      </w:r>
    </w:p>
    <w:sectPr w:rsidR="00BA4760" w:rsidRPr="003E69C6" w:rsidSect="003E69C6">
      <w:headerReference w:type="default" r:id="rId7"/>
      <w:pgSz w:w="11906" w:h="16838"/>
      <w:pgMar w:top="709" w:right="566" w:bottom="567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5F9" w:rsidRDefault="000C65F9">
      <w:r>
        <w:separator/>
      </w:r>
    </w:p>
  </w:endnote>
  <w:endnote w:type="continuationSeparator" w:id="0">
    <w:p w:rsidR="000C65F9" w:rsidRDefault="000C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5F9" w:rsidRDefault="000C65F9">
      <w:r>
        <w:separator/>
      </w:r>
    </w:p>
  </w:footnote>
  <w:footnote w:type="continuationSeparator" w:id="0">
    <w:p w:rsidR="000C65F9" w:rsidRDefault="000C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738425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F01B36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0C65F9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066A9"/>
    <w:rsid w:val="000174CE"/>
    <w:rsid w:val="000257EE"/>
    <w:rsid w:val="0002772E"/>
    <w:rsid w:val="00056E98"/>
    <w:rsid w:val="00073314"/>
    <w:rsid w:val="0008068E"/>
    <w:rsid w:val="000807D1"/>
    <w:rsid w:val="00086F18"/>
    <w:rsid w:val="000B56A3"/>
    <w:rsid w:val="000C31FF"/>
    <w:rsid w:val="000C5F64"/>
    <w:rsid w:val="000C65F9"/>
    <w:rsid w:val="000F04A6"/>
    <w:rsid w:val="000F0636"/>
    <w:rsid w:val="00110FC3"/>
    <w:rsid w:val="001132DD"/>
    <w:rsid w:val="0011494F"/>
    <w:rsid w:val="0013101E"/>
    <w:rsid w:val="00131B50"/>
    <w:rsid w:val="001402F2"/>
    <w:rsid w:val="0015150F"/>
    <w:rsid w:val="0015476A"/>
    <w:rsid w:val="0018159B"/>
    <w:rsid w:val="001956C6"/>
    <w:rsid w:val="001975A5"/>
    <w:rsid w:val="001A0B83"/>
    <w:rsid w:val="001A3398"/>
    <w:rsid w:val="001C174C"/>
    <w:rsid w:val="001F0AC9"/>
    <w:rsid w:val="001F18FC"/>
    <w:rsid w:val="00210DE2"/>
    <w:rsid w:val="00222990"/>
    <w:rsid w:val="002249F3"/>
    <w:rsid w:val="00227276"/>
    <w:rsid w:val="00227F65"/>
    <w:rsid w:val="0023126B"/>
    <w:rsid w:val="002378EC"/>
    <w:rsid w:val="002422F4"/>
    <w:rsid w:val="00243024"/>
    <w:rsid w:val="00250075"/>
    <w:rsid w:val="00270F60"/>
    <w:rsid w:val="00282C86"/>
    <w:rsid w:val="00286C3D"/>
    <w:rsid w:val="002C2EA6"/>
    <w:rsid w:val="002D34F2"/>
    <w:rsid w:val="002D416C"/>
    <w:rsid w:val="002E2484"/>
    <w:rsid w:val="002E36B7"/>
    <w:rsid w:val="002E50FF"/>
    <w:rsid w:val="002E5274"/>
    <w:rsid w:val="002E5810"/>
    <w:rsid w:val="002E5FDD"/>
    <w:rsid w:val="0030767E"/>
    <w:rsid w:val="00314D5F"/>
    <w:rsid w:val="003160E3"/>
    <w:rsid w:val="00337E13"/>
    <w:rsid w:val="00343911"/>
    <w:rsid w:val="00367ADD"/>
    <w:rsid w:val="00372FE1"/>
    <w:rsid w:val="00375ADA"/>
    <w:rsid w:val="00376B5F"/>
    <w:rsid w:val="003833FC"/>
    <w:rsid w:val="003839D3"/>
    <w:rsid w:val="00387F12"/>
    <w:rsid w:val="003975E5"/>
    <w:rsid w:val="003C1482"/>
    <w:rsid w:val="003C1AF2"/>
    <w:rsid w:val="003C7605"/>
    <w:rsid w:val="003D333F"/>
    <w:rsid w:val="003E69C6"/>
    <w:rsid w:val="003F4DEE"/>
    <w:rsid w:val="00402A9E"/>
    <w:rsid w:val="004063B0"/>
    <w:rsid w:val="0041327D"/>
    <w:rsid w:val="004231D9"/>
    <w:rsid w:val="0042699D"/>
    <w:rsid w:val="00436F81"/>
    <w:rsid w:val="00454A57"/>
    <w:rsid w:val="004563FE"/>
    <w:rsid w:val="00456CE5"/>
    <w:rsid w:val="004600DD"/>
    <w:rsid w:val="00473C8A"/>
    <w:rsid w:val="004751E1"/>
    <w:rsid w:val="004926F8"/>
    <w:rsid w:val="004E0998"/>
    <w:rsid w:val="004E1646"/>
    <w:rsid w:val="004E59A1"/>
    <w:rsid w:val="004F1D38"/>
    <w:rsid w:val="004F4016"/>
    <w:rsid w:val="00500236"/>
    <w:rsid w:val="005222E5"/>
    <w:rsid w:val="00537745"/>
    <w:rsid w:val="005D10C9"/>
    <w:rsid w:val="005E1688"/>
    <w:rsid w:val="005F7084"/>
    <w:rsid w:val="0060102C"/>
    <w:rsid w:val="0062488C"/>
    <w:rsid w:val="006267B1"/>
    <w:rsid w:val="006366A0"/>
    <w:rsid w:val="006642F0"/>
    <w:rsid w:val="00671624"/>
    <w:rsid w:val="006C08CE"/>
    <w:rsid w:val="006D23E5"/>
    <w:rsid w:val="006D7FAC"/>
    <w:rsid w:val="006F4094"/>
    <w:rsid w:val="007050B0"/>
    <w:rsid w:val="00713A2D"/>
    <w:rsid w:val="00732794"/>
    <w:rsid w:val="00741607"/>
    <w:rsid w:val="007500A0"/>
    <w:rsid w:val="007728F2"/>
    <w:rsid w:val="00772CE8"/>
    <w:rsid w:val="00781A3F"/>
    <w:rsid w:val="0079061E"/>
    <w:rsid w:val="00790EEC"/>
    <w:rsid w:val="007D1190"/>
    <w:rsid w:val="007F53D9"/>
    <w:rsid w:val="00817374"/>
    <w:rsid w:val="008275AC"/>
    <w:rsid w:val="00845814"/>
    <w:rsid w:val="00850C8D"/>
    <w:rsid w:val="008512CA"/>
    <w:rsid w:val="00870B66"/>
    <w:rsid w:val="008748AA"/>
    <w:rsid w:val="008772F1"/>
    <w:rsid w:val="00883991"/>
    <w:rsid w:val="00885F3D"/>
    <w:rsid w:val="008B055B"/>
    <w:rsid w:val="008B3107"/>
    <w:rsid w:val="008B6D26"/>
    <w:rsid w:val="008D7520"/>
    <w:rsid w:val="008E2291"/>
    <w:rsid w:val="008E3681"/>
    <w:rsid w:val="009054AC"/>
    <w:rsid w:val="009071DC"/>
    <w:rsid w:val="00926FCE"/>
    <w:rsid w:val="0093307D"/>
    <w:rsid w:val="0093410B"/>
    <w:rsid w:val="00934D2F"/>
    <w:rsid w:val="00963C61"/>
    <w:rsid w:val="00972C6D"/>
    <w:rsid w:val="009762E7"/>
    <w:rsid w:val="009808EF"/>
    <w:rsid w:val="0098255A"/>
    <w:rsid w:val="00983BD9"/>
    <w:rsid w:val="009851D7"/>
    <w:rsid w:val="009A1E61"/>
    <w:rsid w:val="009A2716"/>
    <w:rsid w:val="009A6264"/>
    <w:rsid w:val="009B223F"/>
    <w:rsid w:val="009C2087"/>
    <w:rsid w:val="009D1C43"/>
    <w:rsid w:val="009D2F56"/>
    <w:rsid w:val="009D7A6C"/>
    <w:rsid w:val="009F1E9F"/>
    <w:rsid w:val="009F5ADC"/>
    <w:rsid w:val="00A301D5"/>
    <w:rsid w:val="00A455B2"/>
    <w:rsid w:val="00A554D9"/>
    <w:rsid w:val="00A56208"/>
    <w:rsid w:val="00A569A5"/>
    <w:rsid w:val="00A6406A"/>
    <w:rsid w:val="00A8103F"/>
    <w:rsid w:val="00A85554"/>
    <w:rsid w:val="00A8574B"/>
    <w:rsid w:val="00AA581A"/>
    <w:rsid w:val="00AA776E"/>
    <w:rsid w:val="00AB5C94"/>
    <w:rsid w:val="00AC2E97"/>
    <w:rsid w:val="00AD7CBB"/>
    <w:rsid w:val="00AE2A6B"/>
    <w:rsid w:val="00AE4207"/>
    <w:rsid w:val="00AF495E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043BF"/>
    <w:rsid w:val="00C101E3"/>
    <w:rsid w:val="00C10AD3"/>
    <w:rsid w:val="00C11B62"/>
    <w:rsid w:val="00C230E0"/>
    <w:rsid w:val="00C363EC"/>
    <w:rsid w:val="00C4645E"/>
    <w:rsid w:val="00C5475E"/>
    <w:rsid w:val="00C57134"/>
    <w:rsid w:val="00C74B4C"/>
    <w:rsid w:val="00C814E4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CF4D4F"/>
    <w:rsid w:val="00D006BC"/>
    <w:rsid w:val="00D13D61"/>
    <w:rsid w:val="00D25880"/>
    <w:rsid w:val="00D45443"/>
    <w:rsid w:val="00D47685"/>
    <w:rsid w:val="00D52671"/>
    <w:rsid w:val="00D52B4D"/>
    <w:rsid w:val="00D56141"/>
    <w:rsid w:val="00DA71E0"/>
    <w:rsid w:val="00DB17B4"/>
    <w:rsid w:val="00DB7B66"/>
    <w:rsid w:val="00DC3872"/>
    <w:rsid w:val="00DD2FBA"/>
    <w:rsid w:val="00DD62C5"/>
    <w:rsid w:val="00DF5AF8"/>
    <w:rsid w:val="00DF5ED3"/>
    <w:rsid w:val="00E459FF"/>
    <w:rsid w:val="00E6428F"/>
    <w:rsid w:val="00E75FEC"/>
    <w:rsid w:val="00E77ED7"/>
    <w:rsid w:val="00E91866"/>
    <w:rsid w:val="00EA6C80"/>
    <w:rsid w:val="00EB1D74"/>
    <w:rsid w:val="00EC0AAB"/>
    <w:rsid w:val="00ED20DF"/>
    <w:rsid w:val="00EE6467"/>
    <w:rsid w:val="00EF370F"/>
    <w:rsid w:val="00F01B36"/>
    <w:rsid w:val="00F20A59"/>
    <w:rsid w:val="00F26DFA"/>
    <w:rsid w:val="00F555E9"/>
    <w:rsid w:val="00F6457B"/>
    <w:rsid w:val="00F71AE9"/>
    <w:rsid w:val="00F82C09"/>
    <w:rsid w:val="00FA5980"/>
    <w:rsid w:val="00FB090D"/>
    <w:rsid w:val="00FB23D4"/>
    <w:rsid w:val="00FB404C"/>
    <w:rsid w:val="00FC0AB2"/>
    <w:rsid w:val="00FC7320"/>
    <w:rsid w:val="00FD7F95"/>
    <w:rsid w:val="00FE04E0"/>
    <w:rsid w:val="00FE3235"/>
    <w:rsid w:val="00FF0F2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EC407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Emphasis"/>
    <w:basedOn w:val="a0"/>
    <w:uiPriority w:val="20"/>
    <w:qFormat/>
    <w:rsid w:val="005F70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68</cp:revision>
  <cp:lastPrinted>2025-11-19T06:27:00Z</cp:lastPrinted>
  <dcterms:created xsi:type="dcterms:W3CDTF">2023-07-12T06:40:00Z</dcterms:created>
  <dcterms:modified xsi:type="dcterms:W3CDTF">2025-11-19T06:29:00Z</dcterms:modified>
</cp:coreProperties>
</file>