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32" w:rsidRDefault="00AB606F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реструктуризации кредитов (займов)</w:t>
      </w:r>
    </w:p>
    <w:p w:rsidR="005F6C32" w:rsidRDefault="00AB606F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физическим лицам и субъектам МСП в 2021 году</w:t>
      </w:r>
    </w:p>
    <w:p w:rsidR="005F6C32" w:rsidRDefault="00AB606F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5F6C32" w:rsidRDefault="005F6C3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5F6C32" w:rsidRDefault="00AB606F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Информационным письмом от 29.06. 2021 № ИН-06-59/44 Банк России рекомендовал кредитным организациям,</w:t>
      </w:r>
      <w:r>
        <w:rPr>
          <w:rFonts w:ascii="Times New Roman" w:hAnsi="Times New Roman" w:cs="Times New Roman"/>
          <w:sz w:val="28"/>
          <w:szCs w:val="28"/>
        </w:rPr>
        <w:t xml:space="preserve"> (далее - кредиторы) продолжать рассматривать возможность изменения условий ранее предоставленных кредитов (займов) с учетом следующего.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обращения заемщиков - физических лиц, а также субъектов малого и среднего предпринимательства, включая физичес</w:t>
      </w:r>
      <w:r>
        <w:rPr>
          <w:rFonts w:ascii="Times New Roman" w:hAnsi="Times New Roman" w:cs="Times New Roman"/>
          <w:sz w:val="28"/>
          <w:szCs w:val="28"/>
        </w:rPr>
        <w:t>ких лиц, применяющих специальный налоговый режим «Налог на профессиональный доход», в период с 01.07.2021 по 30.09.2021 с заявлением об изменении условий договора кредита (займа) в связи со снижением дохода заемщика (совокупного дохода всех заемщиков) до у</w:t>
      </w:r>
      <w:r>
        <w:rPr>
          <w:rFonts w:ascii="Times New Roman" w:hAnsi="Times New Roman" w:cs="Times New Roman"/>
          <w:sz w:val="28"/>
          <w:szCs w:val="28"/>
        </w:rPr>
        <w:t>ровня, не позволяющего заемщику исполнять свои обязательства по такому договору,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(или) подтверждением наличия у заемщика или совместно проживающих с ним членов семьи COVID-19, кредиторам рекомендуется удовлетворять заявление заемщика и принимать решение </w:t>
      </w:r>
      <w:r>
        <w:rPr>
          <w:rFonts w:ascii="Times New Roman" w:hAnsi="Times New Roman" w:cs="Times New Roman"/>
          <w:sz w:val="28"/>
          <w:szCs w:val="28"/>
        </w:rPr>
        <w:t xml:space="preserve">об изменении условий кредитного договора (договора займа)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обращения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заемщика с соответствующим заявлением на условиях, предусмотренных собственной программой реструктуризации кредитов (займов). Аналогичный подход рекомендуется применять в случае обр</w:t>
      </w:r>
      <w:r>
        <w:rPr>
          <w:rFonts w:ascii="Times New Roman" w:hAnsi="Times New Roman" w:cs="Times New Roman"/>
          <w:sz w:val="28"/>
          <w:szCs w:val="28"/>
        </w:rPr>
        <w:t>ащения заемщиков, реструктуризация долга которых была проведена ранее. В указанных случаях рекомендуется не начислять заемщику неустойку (штраф, пени) за неисполнение или ненадлежащее исполнение договора кредита (займа).</w:t>
      </w:r>
    </w:p>
    <w:p w:rsidR="005F6C32" w:rsidRDefault="00AB606F">
      <w:pPr>
        <w:spacing w:after="0" w:line="240" w:lineRule="auto"/>
        <w:ind w:firstLine="73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Банк России рекомендует бюро </w:t>
      </w:r>
      <w:r>
        <w:rPr>
          <w:rFonts w:ascii="Times New Roman" w:hAnsi="Times New Roman" w:cs="Times New Roman"/>
          <w:sz w:val="28"/>
          <w:szCs w:val="28"/>
        </w:rPr>
        <w:t>кредитных историй и пользователям кредитных историй - займодавцам (кредиторам) не учитывать в моделях оценки вероятности дефолта заемщика, применяемых займодавцем (кредитором), и расчете индивидуального рейтинга субъекта кредитной истории, применяемого бюр</w:t>
      </w:r>
      <w:r>
        <w:rPr>
          <w:rFonts w:ascii="Times New Roman" w:hAnsi="Times New Roman" w:cs="Times New Roman"/>
          <w:sz w:val="28"/>
          <w:szCs w:val="28"/>
        </w:rPr>
        <w:t>о кредитных историй, в качестве фактора, ухудшающего кредитную историю заемщика, реструктуризацию, проведенную источником формирования кредитной истории в соответствии с рекомендациями, изложенными в настоящем информационном письме.</w:t>
      </w:r>
      <w:proofErr w:type="gramEnd"/>
    </w:p>
    <w:p w:rsidR="005F6C32" w:rsidRDefault="005F6C32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6C3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32"/>
    <w:rsid w:val="005F6C32"/>
    <w:rsid w:val="00AB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35E0F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CF0F3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CF0F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C64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35E0F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CF0F3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CF0F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C64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Проскура</dc:creator>
  <dc:description/>
  <cp:lastModifiedBy>Оксана Иванкова</cp:lastModifiedBy>
  <cp:revision>13</cp:revision>
  <cp:lastPrinted>2021-08-02T12:23:00Z</cp:lastPrinted>
  <dcterms:created xsi:type="dcterms:W3CDTF">2021-07-20T11:51:00Z</dcterms:created>
  <dcterms:modified xsi:type="dcterms:W3CDTF">2021-08-02T12:43:00Z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