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7"/>
          <w:szCs w:val="27"/>
        </w:rPr>
      </w:pPr>
      <w:r>
        <w:rPr/>
        <w:drawing>
          <wp:inline distT="0" distB="0" distL="0" distR="0">
            <wp:extent cx="646430" cy="8013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7" t="-583" r="-717" b="-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Spacing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cs="Times New Roman" w:ascii="Times New Roman" w:hAnsi="Times New Roman"/>
          <w:b/>
          <w:sz w:val="27"/>
          <w:szCs w:val="27"/>
          <w:lang w:eastAsia="ru-RU"/>
        </w:rPr>
        <w:t>АДМИНИСТРАЦИЯ МУНИЦИПАЛЬНОГО ОБРАЗОВАНИЯ</w:t>
      </w:r>
    </w:p>
    <w:p>
      <w:pPr>
        <w:pStyle w:val="NoSpacing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7"/>
          <w:szCs w:val="27"/>
          <w:lang w:eastAsia="ru-RU"/>
        </w:rPr>
        <w:t>ТУАПСИНСКИЙ РАЙОН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7"/>
          <w:szCs w:val="27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caps/>
          <w:sz w:val="27"/>
          <w:szCs w:val="27"/>
        </w:rPr>
      </w:pPr>
      <w:r>
        <w:rPr>
          <w:rFonts w:ascii="Times New Roman" w:hAnsi="Times New Roman"/>
          <w:b/>
          <w:bCs/>
          <w:caps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                                                                                        №_________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>г. Туапсе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</w:r>
    </w:p>
    <w:p>
      <w:pPr>
        <w:pStyle w:val="ConsPlusTitle"/>
        <w:ind w:firstLine="709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7"/>
          <w:szCs w:val="27"/>
        </w:rPr>
        <w:t>О некоторых мерах по улучшению инвестиционного климата</w:t>
      </w:r>
    </w:p>
    <w:p>
      <w:pPr>
        <w:pStyle w:val="ConsPlusTitle"/>
        <w:ind w:firstLine="709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sz w:val="27"/>
          <w:szCs w:val="27"/>
        </w:rPr>
        <w:t>в муниципальном образовании Туапсинский район</w:t>
      </w:r>
    </w:p>
    <w:p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7"/>
          <w:szCs w:val="27"/>
        </w:rPr>
        <w:t xml:space="preserve">                                                                                 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В соответствии с </w:t>
      </w:r>
      <w:hyperlink r:id="rId3">
        <w:r>
          <w:rPr>
            <w:rStyle w:val="ListLabel1"/>
            <w:rFonts w:ascii="Times New Roman" w:hAnsi="Times New Roman"/>
            <w:sz w:val="27"/>
            <w:szCs w:val="27"/>
          </w:rPr>
          <w:t>Законом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Краснодарского края от 2 июля 2004 г. № 731-КЗ «О стимулировании инвестиционной деятельности в Краснодарском крае», в целях создания благоприятных условий для увеличения притока прямых инвестиций в экономику муниципального образования Туапсинский район п о с т а н о в л я ю: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1. Утвердить </w:t>
      </w:r>
      <w:hyperlink w:anchor="P142">
        <w:r>
          <w:rPr>
            <w:rStyle w:val="ListLabel2"/>
            <w:rFonts w:cs="Times New Roman" w:ascii="Times New Roman" w:hAnsi="Times New Roman"/>
            <w:sz w:val="27"/>
            <w:szCs w:val="27"/>
          </w:rPr>
          <w:t>Положение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о комиссии по улучшению инвестиционного климата в муниципальном образовании Туапсинский район (приложение 1).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2. Создать комиссию по улучшению инвестиционного климата в муниципальном образовании Туапсинский район и утвердить ее </w:t>
      </w:r>
      <w:hyperlink w:anchor="P58">
        <w:r>
          <w:rPr>
            <w:rStyle w:val="ListLabel2"/>
            <w:rFonts w:cs="Times New Roman" w:ascii="Times New Roman" w:hAnsi="Times New Roman"/>
            <w:sz w:val="27"/>
            <w:szCs w:val="27"/>
          </w:rPr>
          <w:t>состав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(приложение 2).</w:t>
      </w:r>
    </w:p>
    <w:p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3. Возложить на управление экономического развития администрации муниципального образования Туапсинский район организационно-техническое обеспечение деятельности комиссии по улучшению инвестиционного климата в муниципальном образовании Туапсинский район, а также внедрение в муниципальном образовании Туапсинский район алгоритмов действий инвестора свода инвестиционных правил.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>4. Определить заместителя главы администрации муниципального образования Туапсинский район Кулешову О.Е. ответственным лицом за взаимодействие с департаментом развития бизнеса и внешнеэкономической деятельности Краснодарского края, АНО «Агентство по привлечению инвестиций».</w:t>
      </w:r>
    </w:p>
    <w:p>
      <w:pPr>
        <w:pStyle w:val="ConsPlusNormal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5. Контроль за выполнением настоящего постановления возложить на заместителя главы администрации муниципального образования Туапсинский район Кулешову О.Е.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7"/>
          <w:szCs w:val="27"/>
        </w:rPr>
        <w:t xml:space="preserve">6. Постановление вступает в силу со дня его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7"/>
          <w:szCs w:val="27"/>
          <w:lang w:val="ru-RU" w:eastAsia="ru-RU" w:bidi="ar-SA"/>
        </w:rPr>
        <w:t>официального опубликования</w:t>
      </w:r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ConsPlusNormal"/>
        <w:widowControl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widowControl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widowControl/>
        <w:jc w:val="both"/>
        <w:rPr>
          <w:rFonts w:ascii="Times New Roman" w:hAnsi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Глава</w:t>
      </w:r>
    </w:p>
    <w:p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>муниципального образования</w:t>
      </w:r>
    </w:p>
    <w:p>
      <w:pPr>
        <w:pStyle w:val="ConsPlusNormal"/>
        <w:widowControl/>
        <w:numPr>
          <w:ilvl w:val="0"/>
          <w:numId w:val="0"/>
        </w:num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7"/>
          <w:szCs w:val="27"/>
        </w:rPr>
        <w:t>Туапсинский район                                                                                          С.А. Бойко</w:t>
      </w:r>
    </w:p>
    <w:p>
      <w:pPr>
        <w:sectPr>
          <w:headerReference w:type="default" r:id="rId4"/>
          <w:type w:val="nextPage"/>
          <w:pgSz w:w="11906" w:h="16838"/>
          <w:pgMar w:left="1701" w:right="560" w:header="0" w:top="1134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ConsPlusNormal"/>
        <w:widowControl/>
        <w:numPr>
          <w:ilvl w:val="0"/>
          <w:numId w:val="0"/>
        </w:num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</w:t>
      </w:r>
    </w:p>
    <w:p>
      <w:pPr>
        <w:pStyle w:val="ConsPlusNormal"/>
        <w:widowControl/>
        <w:numPr>
          <w:ilvl w:val="0"/>
          <w:numId w:val="0"/>
        </w:numPr>
        <w:ind w:firstLine="5529"/>
        <w:jc w:val="both"/>
        <w:outlineLvl w:val="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 1</w:t>
      </w:r>
    </w:p>
    <w:p>
      <w:pPr>
        <w:pStyle w:val="Normal"/>
        <w:tabs>
          <w:tab w:val="clear" w:pos="708"/>
          <w:tab w:val="left" w:pos="5530" w:leader="none"/>
        </w:tabs>
        <w:spacing w:lineRule="auto" w:line="240" w:before="0" w:after="0"/>
        <w:ind w:left="113" w:right="170" w:firstLine="5443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530" w:leader="none"/>
        </w:tabs>
        <w:spacing w:lineRule="auto" w:line="240" w:before="0" w:after="0"/>
        <w:ind w:left="113" w:right="170" w:firstLine="5443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УТВЕРЖДЕНО</w:t>
      </w:r>
    </w:p>
    <w:p>
      <w:pPr>
        <w:pStyle w:val="Normal"/>
        <w:tabs>
          <w:tab w:val="clear" w:pos="708"/>
          <w:tab w:val="left" w:pos="5530" w:leader="none"/>
        </w:tabs>
        <w:spacing w:lineRule="auto" w:line="240" w:before="0" w:after="0"/>
        <w:ind w:left="113" w:right="170" w:firstLine="5443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постановлением администрации</w:t>
      </w:r>
    </w:p>
    <w:p>
      <w:pPr>
        <w:pStyle w:val="Normal"/>
        <w:tabs>
          <w:tab w:val="clear" w:pos="708"/>
          <w:tab w:val="left" w:pos="5530" w:leader="none"/>
        </w:tabs>
        <w:spacing w:lineRule="auto" w:line="240" w:before="0" w:after="0"/>
        <w:ind w:left="113" w:right="170" w:firstLine="5443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муниципального образования</w:t>
      </w:r>
    </w:p>
    <w:p>
      <w:pPr>
        <w:pStyle w:val="Normal"/>
        <w:tabs>
          <w:tab w:val="clear" w:pos="708"/>
          <w:tab w:val="left" w:pos="5530" w:leader="none"/>
        </w:tabs>
        <w:spacing w:lineRule="auto" w:line="240" w:before="0" w:after="0"/>
        <w:ind w:left="113" w:right="170" w:firstLine="5443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Туапсинский район</w:t>
      </w:r>
    </w:p>
    <w:p>
      <w:pPr>
        <w:pStyle w:val="Normal"/>
        <w:tabs>
          <w:tab w:val="clear" w:pos="708"/>
          <w:tab w:val="left" w:pos="5530" w:leader="none"/>
        </w:tabs>
        <w:spacing w:lineRule="auto" w:line="240" w:before="0" w:after="0"/>
        <w:ind w:left="113" w:right="170" w:firstLine="5443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____________ № __________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42"/>
      <w:bookmarkEnd w:id="0"/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ConsPlusTitle"/>
        <w:ind w:firstLine="709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 комиссии по улучшению инвестиционного климата</w:t>
      </w:r>
    </w:p>
    <w:p>
      <w:pPr>
        <w:pStyle w:val="ConsPlusTitle"/>
        <w:ind w:firstLine="709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муниципальном образовании Туапсинский район</w:t>
      </w:r>
    </w:p>
    <w:p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1.1. Настоящее Положение разработано в целях реализации улучшения инвестиционного климата в муниципальном образовании Туапсинский район.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1.2. Комиссия по улучшению инвестиционного климата в муниципальном образовании Туапсинский район (далее - Комиссия) является межведомственным коллегиальным органом при главе муниципального образования Туапсинский район.</w:t>
      </w:r>
    </w:p>
    <w:p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Комиссия образована в целях координации деятельности структурных подразделений администрации муниципального образования Туапсинский район и их взаимодействия с территориальными органами федеральных органов исполнительной власти, органами исполнительной власти Краснодарского края, иными органами и организациями по вопросам формирования благоприятных условий для ведения инвестиционной деятельности и увеличения притока прямых инвестиций в экономику муниципального образования Туапсинский район, содействия импортозамещению.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1.3. Комиссия руководствуется в своей деятельности </w:t>
      </w:r>
      <w:hyperlink r:id="rId5">
        <w:r>
          <w:rPr>
            <w:rStyle w:val="ListLabel3"/>
            <w:rFonts w:ascii="Times New Roman" w:hAnsi="Times New Roman"/>
            <w:sz w:val="28"/>
            <w:szCs w:val="28"/>
          </w:rPr>
          <w:t>Конституцией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Краснодарского края, нормативными правовыми актами администрации муниципального образования Туапсинский район, а также настоящим Положением.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2. Основные задачи Комиссии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Основными задачами Комиссии являются: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2.1. Координация деятельности структурных подразделений администрации муниципального образования Туапсинский район и их взаимодействие с территориальными органами федеральных органов исполнительной власти, органами исполнительной власти Краснодарского края, иными органами и организациями по вопросам формирования и реализации государственной политики в сфере стимулирования инвестиционной деятельности.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2.2. Выработка предложений по формированию и реализации мероприятий, направленных на улучшение инвестиционного климата на территории муниципального образования Туапсинский район.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2.3. Выработка и утверждение планов мероприятий по улучшению инвестиционного климата на территории муниципального образования Туапсинский район.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2.4. Содействие внедрению организационных и экономических механизмов, разработанных в ходе формирования государственной политики в сфере развития инвестиционной деятельности на территории муниципального образования Туапсинский район, в том числе программ по улучшению инвестиционного климата на территории муниципального образования Туапсинский район, утвержденных в установленном порядке.</w:t>
      </w:r>
    </w:p>
    <w:p>
      <w:pPr>
        <w:pStyle w:val="ConsPlusNormal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3. Полномочия Комиссии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Комиссия для решения поставленных перед нею задач имеет право: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3.1. Запрашивать в установленном законодательством порядке у территориальных органов федеральных органов исполнительной власти, органов исполнительной власти Краснодарского края и других субъектов Российской Федерации, иных органов и организаций необходимую информацию и документы по вопросам, относящимся к компетенции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3.2. Приглашать для участия в заседаниях Комиссии представителей территориальных органов федеральных органов исполнительной власти, органов государственной власти Краснодарского края, представителей организаций по вопросам, относящимся к компетенции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3.3. Привлекать в установленном законодательством порядке представителей территориальных органов федеральных органов исполнительной власти по согласованию с руководителями этих органов, органов исполнительной власти Краснодарского края, представителей научного, экспертного и делового сообщества для подготовки материалов, рассматриваемых на заседаниях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3.4. Для оперативного и качественного решения вопросов, входящих в компетенцию Комиссии, образовывать своим решением межведомственный штаб (рабочую группу) по оперативному содействию инвесторам.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1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>4. Состав Комиссии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4.1. Состав Комиссии утверждается постановлением администрации муниципального образования Туапсинский район.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4.2. В состав Комиссии входят председатель Комиссии, заместители председателя Комиссии, члены Комиссии и секретарь Комиссии.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4.3. Председателем Комиссии является глава муниципального образования Туапсинский район. В отсутствие председателя Комиссии его полномочия исполняет заместитель председателя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Председатель Комиссии осуществляет общее руководство Комиссией.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4.4. Секретарь Комиссии обеспечивает подготовку повестки дня заседаний Комиссии, материалов к рассмотрению, протоколов заседаний Комиссии, выполняет в случае необходимости иные функции, связанные с подготовкой, проведением и обеспечением исполнения решений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1"/>
        <w:rPr>
          <w:b w:val="false"/>
          <w:b w:val="false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5. Порядок работы Комиссии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5.1. Заседания Комиссии проводятся по мере необходимости для решения вопросов, входящих в компетенцию Комиссии.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5.2. Заседания Комиссии проводит председатель Комиссии либо  заместитель председателя Комиссии.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5.3. Список приглашаемых на заседание Комиссии должностных лиц, а также представителей инвесторов, необходимость участия которых в заседании Комиссии обусловлена тематикой рассматриваемых вопросов, формируется секретарем Комиссии на основе предложений заместителя главы – инвеступолномоченного, структурных подразделений администрации муниципального образования Туапсинский район и организаций, ответственных за подготовку рассматриваемых вопросов, и докладывается председателю Комиссии или заместителю председателя Комиссии.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5.4. Подготовка материалов к заседаниям Комиссии осуществляется секретарем Комиссии на основании материалов предоставляемых отраслевыми (функциональными) органами администрации муниципального образования Туапсинский район, к ведению которых относятся вопросы повестки дня.</w:t>
      </w:r>
    </w:p>
    <w:p>
      <w:pPr>
        <w:pStyle w:val="ConsPlusNormal"/>
        <w:ind w:firstLine="709"/>
        <w:jc w:val="both"/>
        <w:rPr/>
      </w:pPr>
      <w:bookmarkStart w:id="1" w:name="P250"/>
      <w:bookmarkEnd w:id="1"/>
      <w:r>
        <w:rPr>
          <w:rFonts w:cs="Times New Roman" w:ascii="Times New Roman" w:hAnsi="Times New Roman"/>
          <w:sz w:val="28"/>
          <w:szCs w:val="28"/>
        </w:rPr>
        <w:t xml:space="preserve">5.5. Члены Комиссии, 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инициаторы</w:t>
      </w:r>
      <w:r>
        <w:rPr>
          <w:rFonts w:cs="Times New Roman" w:ascii="Times New Roman" w:hAnsi="Times New Roman"/>
          <w:sz w:val="28"/>
          <w:szCs w:val="28"/>
        </w:rPr>
        <w:t xml:space="preserve"> заседания Комиссии, не позднее чем за 5 рабочих дней до даты проведения заседания Комиссии представляют секретарю Комиссии следующие материалы: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аналитическую справку по рассматриваемому вопросу;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тезисы выступления основного докладчика;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проект решения по рассматриваемому вопросу с указанием исполнителей пунктов решения и сроков их исполнения;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список приглашаемых на заседание Комиссии лиц, не являющихся членами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5.6. Контроль за своевременной подготовкой и представлением материалов для рассмотрения на заседаниях Комиссии осуществляется секретарем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5.7. В случае непредставления материалов в установленный срок или их представления с нарушением настоящего Положения вопрос снимается с рассмотрения и переносится на другое заседание Комиссии.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5.8. Одобренные председателем Комиссии либо заместителем председателя Комиссии проект протокольного решения, повестка заседания и соответствующие материалы рассылаются секретарем Комиссии не позднее чем за 3 рабочих дня до даты заседания Комиссии членам Комиссии и участникам заседания Комиссии, ответственным за подготовку обсуждаемого вопроса.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5.9. Проект повестки дня заседания Комиссии уточняется в процессе подготовки к очередному заседанию и согласовывается с председателем Комиссии либо заместителем председателя Комиссии. Повестка дня заседания Комиссии утверждается непосредственно на заседании.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5.10. Секретарь Комиссии информирует членов Комиссии и лиц, приглашенных на заседание Комиссии, о дате, времени и месте проведения заседания Комиссии не позднее чем за 3 рабочих дня до его проведения.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5.11. Члены Комиссии участвуют в ее заседаниях лично, а в случае невозможности присутствия на заседании член Комиссии заблаговременно извещает об этом председателя Комиссии и обеспечивает присутствие своего представителя. В случае отсутствия члена Комиссии на заседании он вправе через своего представителя изложить свое мнение по рассматриваемым вопросам в письменной форме.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5.12. Заседания Комиссии могут проводиться в очной форме, заочной форме или в формате видеоконференции. Для участия в заседаниях Комиссии могут приглашаться представители государственных органов, инвесторы, не являющиеся членами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6. Решения Комиссии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6.1. Решения Комиссии принимаются большинством голосов присутствующих на заседании членов Комиссии. При равенстве голосов членов Комиссии решающим является голос председательствующего на заседании.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Секретарь Комиссии не обладает правом голоса на заседании Комиссии.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6.2. Решения Комиссии оформляются протоколами, которые подписываются председателем или заместителем председателя Комиссии и секретарем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6.3. В протоколе каждого заседания Комиссии в обязательном порядке фиксируются следующие сведения: дата, время, место проведения заседания, состав присутствующих членов Комиссии, экспертов и иных лиц, вопросы повестки дня, мотивированное решение по каждому вопросу повестки дня с указанием результатов голосования по каждому вопросу повестки дня.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6.4. Комиссия вправе принимать решения без созыва заседания путем проведения заочного согласования проекта протокола (далее — заочное согласование).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Решение о проведении заочного согласования принимается председателем Комиссии либо заместителем председателя Комиссии, который утверждает перечень вопросов, выносимых на заочное согласование, а также устанавливает дату окончания срока согласования заочного решения по обозначенным вопросам.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Члены Комиссии, участники заседания Комиссии, на которых возложена подготовка материалов, необходимых для подготовки проекта протокола заочного заседания Комиссии, в течение 3 рабочих дней со дня принятия решения о проведении заочного согласования представляют секретарю Комиссии материалы, указанные в</w:t>
      </w:r>
      <w:r>
        <w:rPr>
          <w:rFonts w:ascii="Times New Roman" w:hAnsi="Times New Roman"/>
          <w:sz w:val="28"/>
          <w:szCs w:val="28"/>
        </w:rPr>
        <w:t xml:space="preserve"> </w:t>
      </w:r>
      <w:hyperlink w:anchor="P250">
        <w:r>
          <w:rPr>
            <w:rStyle w:val="ListLabel4"/>
            <w:rFonts w:ascii="Times New Roman" w:hAnsi="Times New Roman"/>
            <w:color w:val="000000"/>
            <w:sz w:val="28"/>
            <w:szCs w:val="28"/>
          </w:rPr>
          <w:t>пункте 5.5</w:t>
        </w:r>
      </w:hyperlink>
      <w:r>
        <w:rPr>
          <w:rFonts w:ascii="Times New Roman" w:hAnsi="Times New Roman"/>
          <w:sz w:val="28"/>
          <w:szCs w:val="28"/>
        </w:rPr>
        <w:t xml:space="preserve"> н</w:t>
      </w:r>
      <w:r>
        <w:rPr>
          <w:rFonts w:cs="Times New Roman" w:ascii="Times New Roman" w:hAnsi="Times New Roman"/>
          <w:sz w:val="28"/>
          <w:szCs w:val="28"/>
        </w:rPr>
        <w:t>астоящего Положения.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Секретарь Комиссии подготавливает проект протокола и необходимые материалы по вопросам, вынесенным на заочное согласование, и направляет их членам Комиссии. Документы направляются членам Комиссии не позднее чем за 5 рабочих дней до даты окончания срока согласования заочного решения.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Члены Комиссии направляют согласованные проекты протокола заочного согласования не позднее 1 дня до даты окончания срока согласования.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Заочное решение Комиссии оформляется в форме протокола, который подписывает председатель Комиссии либо заместитель председателя Комиссии и секретарь Комиссии после его заочного согласования с членами Комиссии.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6.5. Решения Комиссии доводятся до сведения заинтересованных лиц в виде копий утвержденных протоколов или выписок из протоколов заседаний Комиссии, подписанных секретарем Комиссии, в течение 5 дней с даты заседания Комиссии. Решения Комиссии направляются с применением электронных средств связи.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6.6. Организационно-техническое обеспечение деятельности Комиссии осуществляет управление экономического развития администрации муниципального образования Туапсинский район.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7. Рабочие группы Комиссии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7.1. Образуемые Комиссией рабочие группы в установленном порядке могут привлекать к своей работе представителей территориальных органов федеральных органов исполнительной власти, органов государственной власти Краснодарского края, ресурсоснабжающих организаций научно-исследовательских и иных организаций.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7.2. Рабочие группы могут создаваться для оперативного решения отдельных вопросов, относящихся к компетенции Комиссии.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7.3. Рабочие группы являются действующими органами Комиссии, их составы и порядок работы утверждаются решением Комиссии.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Начальник управления экономического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развития администрации муниципального</w:t>
      </w:r>
    </w:p>
    <w:p>
      <w:pPr>
        <w:sectPr>
          <w:headerReference w:type="default" r:id="rId6"/>
          <w:type w:val="nextPage"/>
          <w:pgSz w:w="11906" w:h="16838"/>
          <w:pgMar w:left="1701" w:right="560" w:header="0" w:top="851" w:footer="0" w:bottom="1134" w:gutter="0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Туапсинский район                                                   М.А. Стамбольжи</w:t>
      </w:r>
    </w:p>
    <w:p>
      <w:pPr>
        <w:pStyle w:val="Normal"/>
        <w:shd w:val="clear" w:color="auto" w:fill="FFFFFF"/>
        <w:spacing w:lineRule="auto" w:line="240" w:before="0" w:after="0"/>
        <w:ind w:firstLine="5669"/>
        <w:rPr/>
      </w:pPr>
      <w:r>
        <w:rPr>
          <w:rFonts w:ascii="Times New Roman" w:hAnsi="Times New Roman"/>
          <w:sz w:val="28"/>
          <w:szCs w:val="28"/>
        </w:rPr>
        <w:t>Приложение 2</w:t>
      </w:r>
    </w:p>
    <w:p>
      <w:pPr>
        <w:pStyle w:val="Normal"/>
        <w:spacing w:lineRule="auto" w:line="240" w:before="0" w:after="0"/>
        <w:ind w:firstLine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uto" w:line="240" w:before="0" w:after="0"/>
        <w:ind w:firstLine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uto" w:line="240" w:before="0" w:after="0"/>
        <w:ind w:firstLine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firstLine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Туапсинский район</w:t>
      </w:r>
    </w:p>
    <w:p>
      <w:pPr>
        <w:pStyle w:val="Normal"/>
        <w:spacing w:lineRule="auto" w:line="240" w:before="0" w:after="0"/>
        <w:ind w:firstLine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____________№___________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СОСТАВ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комиссии </w:t>
      </w: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по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улучшению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инвестиционного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климата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в </w:t>
      </w:r>
      <w:r>
        <w:rPr>
          <w:rFonts w:eastAsia="" w:cs="Times New Roman" w:ascii="Times New Roman" w:hAnsi="Times New Roman" w:eastAsiaTheme="minorEastAsia"/>
          <w:b/>
          <w:bCs/>
          <w:sz w:val="28"/>
          <w:szCs w:val="28"/>
          <w:lang w:eastAsia="ru-RU"/>
        </w:rPr>
        <w:t>муниципальном образовании Туапсинский район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f0"/>
        <w:tblW w:w="97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392"/>
        <w:gridCol w:w="234"/>
        <w:gridCol w:w="6145"/>
      </w:tblGrid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Бойко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3"/>
              <w:rPr/>
            </w:pPr>
            <w:r>
              <w:rPr/>
              <w:t>глава муниципального образования Туапсинский район, председатель комиссии;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Аксенов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Антон Юрьевич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>
            <w:pPr>
              <w:pStyle w:val="BodyText2"/>
              <w:spacing w:before="0" w:after="0"/>
              <w:rPr/>
            </w:pPr>
            <w:r>
              <w:rPr/>
              <w:t>муниципального образования Туапсинский район, заместитель председателя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Кулешова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Ольга Евгеньевна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>
            <w:pPr>
              <w:pStyle w:val="BodyText2"/>
              <w:spacing w:before="0" w:after="0"/>
              <w:rPr/>
            </w:pPr>
            <w:r>
              <w:rPr/>
              <w:t>муниципального образования Туапсинский район, заместитель председателя комиссии;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Стамбольжи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Марта Асатуровна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экономического развития администрации муниципального образования Туапсинский район, секретарь комиссии.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70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Члены  комиссии:</w:t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Аракелов 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Микаэл Сергеевич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муниципального образования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Туапсинский район </w:t>
            </w:r>
            <w:bookmarkStart w:id="2" w:name="__DdeLink__458_1754085120"/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  <w:bookmarkEnd w:id="2"/>
          </w:p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</w:p>
        </w:tc>
      </w:tr>
      <w:tr>
        <w:trPr>
          <w:trHeight w:val="514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Бухинник                        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Андрей Николаевич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развитию сельского хозяйства и перерабатывающей промышленности администрации муниципального образования Туапсинский район;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Гетта                     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Николаевич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BodyText2"/>
              <w:spacing w:before="0" w:after="0"/>
              <w:rPr/>
            </w:pPr>
            <w:r>
              <w:rPr/>
              <w:t>председатель Союза «Туапсинская торговопромышленная палата» (по согласованию);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/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Дацишин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Давид Валерьевич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ЖКХ и ТЭК администрации муниципального образования Туапсинский район;</w:t>
            </w:r>
          </w:p>
          <w:p>
            <w:pPr>
              <w:pStyle w:val="Normal"/>
              <w:spacing w:lineRule="auto" w:line="240" w:before="0" w:after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Димитриади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  <w:p>
            <w:pPr>
              <w:pStyle w:val="Normal"/>
              <w:spacing w:lineRule="auto" w:line="240" w:before="0" w:after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Лежнин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16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правового отдела администрации муниципального образования Туапсинский район;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Лукашевич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Алеся Викторовна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ачальник управления транспорта и дорожного хозяйства администрации муниципального образования Туапсинский район;</w:t>
            </w:r>
          </w:p>
          <w:p>
            <w:pPr>
              <w:pStyle w:val="Normal"/>
              <w:spacing w:lineRule="auto" w:line="240" w:before="0" w:after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288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Лыжников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муниципального образования Туапсинский район (по согласованию);</w:t>
            </w:r>
          </w:p>
          <w:p>
            <w:pPr>
              <w:pStyle w:val="Normal"/>
              <w:spacing w:lineRule="auto" w:line="240" w:before="0" w:after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Покотилов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 Эдуардович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 начальника управления торговли и бытового обслуживания администрации муниципального образования Туапсинский район;</w:t>
            </w:r>
          </w:p>
          <w:p>
            <w:pPr>
              <w:pStyle w:val="Normal"/>
              <w:spacing w:lineRule="auto" w:line="240" w:before="0" w:after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563" w:hRule="atLeast"/>
        </w:trPr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Расулова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Виктория Александровна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Style13"/>
                <w:rFonts w:ascii="Times New Roman" w:hAnsi="Times New Roman"/>
                <w:b w:val="false"/>
                <w:b w:val="false"/>
                <w:color w:val="000000"/>
                <w:sz w:val="28"/>
                <w:szCs w:val="28"/>
              </w:rPr>
            </w:pPr>
            <w:r>
              <w:rPr>
                <w:rStyle w:val="Style13"/>
                <w:rFonts w:ascii="Times New Roman" w:hAnsi="Times New Roman"/>
                <w:b w:val="false"/>
                <w:color w:val="000000"/>
                <w:sz w:val="28"/>
                <w:szCs w:val="28"/>
              </w:rPr>
              <w:t>начальник отдела промышленности, природопользования и охраны окружающей среды администрации муниципального образования Туапсинский район;</w:t>
            </w:r>
          </w:p>
          <w:p>
            <w:pPr>
              <w:pStyle w:val="Normal"/>
              <w:spacing w:lineRule="auto" w:line="240" w:before="0" w:after="0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Семененко                         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Денис Юрьевич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1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начальник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управления архитектуры и градостроительства – главн</w:t>
            </w:r>
            <w:r>
              <w:rPr>
                <w:rFonts w:eastAsia="Calibri" w:ascii="Times New Roman" w:hAnsi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архитектора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Туапсинский район;</w:t>
            </w:r>
          </w:p>
          <w:p>
            <w:pPr>
              <w:pStyle w:val="Normal"/>
              <w:snapToGrid w:val="false"/>
              <w:spacing w:lineRule="auto" w:line="240" w:before="0" w:after="0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9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Чирков 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Дмитрий Станиславович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16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4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имущественных отношений администрации муниципального образования Туапсинский район.</w:t>
            </w:r>
          </w:p>
          <w:p>
            <w:pPr>
              <w:pStyle w:val="Normal"/>
              <w:spacing w:lineRule="auto" w:line="240" w:before="0" w:after="0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Style28"/>
        <w:rPr/>
      </w:pPr>
      <w:r>
        <w:rPr/>
        <w:t>Главы городских и сельских поселений Туапсинского района (по согласованию).</w:t>
      </w:r>
    </w:p>
    <w:p>
      <w:pPr>
        <w:pStyle w:val="Style28"/>
        <w:rPr/>
      </w:pPr>
      <w:r>
        <w:rPr/>
        <w:t>Инвесторы, реализующие крупные инвестиционные проекты и субъекты малого и среднего предпринимательства осуществляющие деятельность на территории Туапсинского района (по согласованию).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Представители ресурсоснабжающих организаций (по согласованию).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Представитель Межрайонной ИФНС России № 6 по Краснодарскому краю (по согласованию).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Представитель управления Федеральной службы государственной регистрации, кадастра и картографии по Краснодарскому краю (по согласованию).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>Представитель АНО «Агенства по привлечению инвестиций» (по согласованию).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 случае если член комиссии освобождается от занимаемой должности, в состав комиссии включается вновь назначенное лицо. При этом внесение изменений в состав комиссии не требуется, изменение состава комиссии фиксируется протоколом заседания комиссии.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</w:rPr>
        <w:t xml:space="preserve">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экономического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развития администрации муниципального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образования Туапсинский район                                                  М.А. Стамбольжи</w:t>
      </w:r>
    </w:p>
    <w:sectPr>
      <w:headerReference w:type="default" r:id="rId7"/>
      <w:headerReference w:type="first" r:id="rId8"/>
      <w:footerReference w:type="default" r:id="rId9"/>
      <w:footerReference w:type="first" r:id="rId10"/>
      <w:type w:val="nextPage"/>
      <w:pgSz w:w="11906" w:h="16838"/>
      <w:pgMar w:left="1701" w:right="622" w:header="550" w:top="1113" w:footer="720" w:bottom="1134" w:gutter="0"/>
      <w:pgNumType w:start="1" w:fmt="decimal"/>
      <w:formProt w:val="false"/>
      <w:titlePg/>
      <w:textDirection w:val="lrTb"/>
      <w:docGrid w:type="default" w:linePitch="381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  <w:p>
    <w:pPr>
      <w:pStyle w:val="Style25"/>
      <w:tabs>
        <w:tab w:val="center" w:pos="4677" w:leader="none"/>
        <w:tab w:val="right" w:pos="9355" w:leader="none"/>
      </w:tabs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tabs>
        <w:tab w:val="center" w:pos="4677" w:leader="none"/>
        <w:tab w:val="right" w:pos="9355" w:leader="none"/>
      </w:tabs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95894212"/>
    </w:sdtPr>
    <w:sdtContent>
      <w:p>
        <w:pPr>
          <w:pStyle w:val="Style24"/>
          <w:jc w:val="center"/>
          <w:rPr/>
        </w:pPr>
        <w:r>
          <w:rPr/>
        </w:r>
      </w:p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937162509"/>
    </w:sdtPr>
    <w:sdtContent>
      <w:p>
        <w:pPr>
          <w:pStyle w:val="Style24"/>
          <w:jc w:val="center"/>
          <w:rPr/>
        </w:pPr>
        <w:r>
          <w:rPr/>
        </w:r>
      </w:p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>
        <w:color w:val="FFFFFF"/>
      </w:rPr>
    </w:pPr>
    <w:r>
      <w:rPr>
        <w:color w:val="FFFFFF"/>
      </w:rPr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22"/>
    <w:next w:val="Style18"/>
    <w:qFormat/>
    <w:pPr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Style13" w:customStyle="1">
    <w:name w:val="Выделение жирным"/>
    <w:qFormat/>
    <w:rPr>
      <w:b/>
      <w:bCs/>
    </w:rPr>
  </w:style>
  <w:style w:type="character" w:styleId="Style14" w:customStyle="1">
    <w:name w:val="Интернет-ссылка"/>
    <w:rPr>
      <w:color w:val="000080"/>
      <w:u w:val="single"/>
    </w:rPr>
  </w:style>
  <w:style w:type="character" w:styleId="Style15" w:customStyle="1">
    <w:name w:val="Верхний колонтитул Знак"/>
    <w:basedOn w:val="DefaultParagraphFont"/>
    <w:link w:val="ab"/>
    <w:uiPriority w:val="99"/>
    <w:qFormat/>
    <w:rsid w:val="00632436"/>
    <w:rPr>
      <w:rFonts w:ascii="Liberation Serif;Times New Roma" w:hAnsi="Liberation Serif;Times New Roma" w:eastAsia="Droid Sans Fallback" w:cs="Mangal"/>
      <w:sz w:val="24"/>
      <w:szCs w:val="21"/>
      <w:lang w:eastAsia="zh-CN" w:bidi="hi-IN"/>
    </w:rPr>
  </w:style>
  <w:style w:type="character" w:styleId="2" w:customStyle="1">
    <w:name w:val="Основной текст 2 Знак"/>
    <w:basedOn w:val="DefaultParagraphFont"/>
    <w:link w:val="2"/>
    <w:uiPriority w:val="99"/>
    <w:qFormat/>
    <w:rsid w:val="00731f27"/>
    <w:rPr>
      <w:rFonts w:ascii="Times New Roman" w:hAnsi="Times New Roman"/>
      <w:sz w:val="28"/>
      <w:szCs w:val="28"/>
    </w:rPr>
  </w:style>
  <w:style w:type="character" w:styleId="3" w:customStyle="1">
    <w:name w:val="Основной текст 3 Знак"/>
    <w:basedOn w:val="DefaultParagraphFont"/>
    <w:link w:val="3"/>
    <w:uiPriority w:val="99"/>
    <w:qFormat/>
    <w:rsid w:val="00731f27"/>
    <w:rPr>
      <w:rFonts w:ascii="Times New Roman" w:hAnsi="Times New Roman"/>
      <w:sz w:val="28"/>
      <w:szCs w:val="28"/>
    </w:rPr>
  </w:style>
  <w:style w:type="character" w:styleId="Style16" w:customStyle="1">
    <w:name w:val="Основной текст с отступом Знак"/>
    <w:basedOn w:val="DefaultParagraphFont"/>
    <w:link w:val="af1"/>
    <w:uiPriority w:val="99"/>
    <w:qFormat/>
    <w:rsid w:val="00731f27"/>
    <w:rPr>
      <w:rFonts w:ascii="Times New Roman" w:hAnsi="Times New Roman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e3670b"/>
    <w:pPr>
      <w:widowControl w:val="false"/>
      <w:bidi w:val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qFormat/>
    <w:rsid w:val="00e3670b"/>
    <w:pPr>
      <w:widowControl w:val="false"/>
      <w:bidi w:val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val="ru-RU" w:eastAsia="ru-RU" w:bidi="ar-SA"/>
    </w:rPr>
  </w:style>
  <w:style w:type="paragraph" w:styleId="ConsPlusTitlePage" w:customStyle="1">
    <w:name w:val="ConsPlusTitlePage"/>
    <w:qFormat/>
    <w:rsid w:val="00e3670b"/>
    <w:pPr>
      <w:widowControl w:val="false"/>
      <w:bidi w:val="0"/>
      <w:jc w:val="left"/>
    </w:pPr>
    <w:rPr>
      <w:rFonts w:ascii="Tahoma" w:hAnsi="Tahoma" w:eastAsia="" w:cs="Tahoma" w:eastAsiaTheme="minorEastAsia"/>
      <w:color w:val="auto"/>
      <w:kern w:val="0"/>
      <w:sz w:val="22"/>
      <w:szCs w:val="22"/>
      <w:lang w:val="ru-RU" w:eastAsia="ru-RU" w:bidi="ar-SA"/>
    </w:rPr>
  </w:style>
  <w:style w:type="paragraph" w:styleId="11" w:customStyle="1">
    <w:name w:val="Заголовок1"/>
    <w:basedOn w:val="Normal"/>
    <w:next w:val="Style18"/>
    <w:qFormat/>
    <w:pPr>
      <w:jc w:val="center"/>
    </w:pPr>
    <w:rPr>
      <w:b/>
      <w:bCs/>
      <w:sz w:val="32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12" w:customStyle="1">
    <w:name w:val="Обычный1"/>
    <w:qFormat/>
    <w:pPr>
      <w:widowControl w:val="false"/>
      <w:suppressAutoHyphens w:val="true"/>
      <w:bidi w:val="0"/>
      <w:jc w:val="left"/>
    </w:pPr>
    <w:rPr>
      <w:rFonts w:ascii="Liberation Serif;Times New Roma" w:hAnsi="Liberation Serif;Times New Roma" w:eastAsia="Droid Sans Fallback" w:cs="Droid Sans Devanagari;Times New"/>
      <w:color w:val="auto"/>
      <w:kern w:val="0"/>
      <w:sz w:val="24"/>
      <w:szCs w:val="24"/>
      <w:lang w:val="ru-RU" w:eastAsia="zh-CN" w:bidi="hi-IN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12"/>
    <w:link w:val="ac"/>
    <w:uiPriority w:val="99"/>
    <w:pPr>
      <w:tabs>
        <w:tab w:val="clear" w:pos="708"/>
        <w:tab w:val="center" w:pos="4677" w:leader="none"/>
        <w:tab w:val="right" w:pos="9355" w:leader="none"/>
      </w:tabs>
    </w:pPr>
    <w:rPr>
      <w:rFonts w:cs="Mangal"/>
      <w:szCs w:val="21"/>
    </w:rPr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 w:customStyle="1">
    <w:name w:val="Содержимое таблицы"/>
    <w:basedOn w:val="Normal"/>
    <w:qFormat/>
    <w:pPr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BodyText2">
    <w:name w:val="Body Text 2"/>
    <w:basedOn w:val="Normal"/>
    <w:link w:val="20"/>
    <w:uiPriority w:val="99"/>
    <w:unhideWhenUsed/>
    <w:qFormat/>
    <w:rsid w:val="00731f27"/>
    <w:pPr>
      <w:spacing w:lineRule="auto" w:line="240"/>
    </w:pPr>
    <w:rPr>
      <w:rFonts w:ascii="Times New Roman" w:hAnsi="Times New Roman"/>
      <w:sz w:val="28"/>
      <w:szCs w:val="28"/>
    </w:rPr>
  </w:style>
  <w:style w:type="paragraph" w:styleId="BodyText3">
    <w:name w:val="Body Text 3"/>
    <w:basedOn w:val="Normal"/>
    <w:link w:val="30"/>
    <w:uiPriority w:val="99"/>
    <w:unhideWhenUsed/>
    <w:qFormat/>
    <w:rsid w:val="00731f27"/>
    <w:pPr>
      <w:spacing w:lineRule="auto" w:line="240" w:before="0" w:after="0"/>
      <w:jc w:val="both"/>
    </w:pPr>
    <w:rPr>
      <w:rFonts w:ascii="Times New Roman" w:hAnsi="Times New Roman"/>
      <w:sz w:val="28"/>
      <w:szCs w:val="28"/>
    </w:rPr>
  </w:style>
  <w:style w:type="paragraph" w:styleId="Style28">
    <w:name w:val="Body Text Indent"/>
    <w:basedOn w:val="Normal"/>
    <w:link w:val="af2"/>
    <w:uiPriority w:val="99"/>
    <w:unhideWhenUsed/>
    <w:rsid w:val="00731f27"/>
    <w:pPr>
      <w:spacing w:lineRule="auto" w:line="240" w:before="0" w:after="0"/>
      <w:ind w:firstLine="709"/>
      <w:jc w:val="both"/>
    </w:pPr>
    <w:rPr>
      <w:rFonts w:ascii="Times New Roman" w:hAnsi="Times New Roman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3"/>
    <w:uiPriority w:val="39"/>
    <w:rsid w:val="006324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0E6409FD1391FC2272985C473161A0144EABAC34A3CEB4A1261DB5A0CD70FC7A0CC5BF15551080F9C7E99A798435B77905X754G" TargetMode="External"/><Relationship Id="rId4" Type="http://schemas.openxmlformats.org/officeDocument/2006/relationships/header" Target="header1.xml"/><Relationship Id="rId5" Type="http://schemas.openxmlformats.org/officeDocument/2006/relationships/hyperlink" Target="consultantplus://offline/ref=0E6409FD1391FC227298424A270DFF1E4BA8F53CA99CE0F3281BBDF29A70A03F5ACCB7411A55D4EAC6E986X75BG" TargetMode="Externa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A65852C-CE28-4D92-AAE2-A4198043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Application>LibreOffice/6.3.0.4$Linux_X86_64 LibreOffice_project/057fc023c990d676a43019934386b85b21a9ee99</Application>
  <Pages>11</Pages>
  <Words>1844</Words>
  <Characters>14635</Characters>
  <CharactersWithSpaces>17090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2023-11-30T06:57:00Z</dcterms:created>
  <dc:creator>Ерышева Наталья Владимировна</dc:creator>
  <dc:description/>
  <dc:language>en-US</dc:language>
  <cp:lastModifiedBy/>
  <cp:lastPrinted>2024-01-29T09:52:00Z</cp:lastPrinted>
  <dcterms:modified xsi:type="dcterms:W3CDTF">2024-02-12T09:03:19Z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