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A03B5E">
        <w:t>ЖКХ И ТЭК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A03B5E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Дацишину</w:t>
      </w:r>
      <w:proofErr w:type="spellEnd"/>
      <w:r>
        <w:rPr>
          <w:sz w:val="28"/>
          <w:szCs w:val="28"/>
        </w:rPr>
        <w:t xml:space="preserve"> Д.В.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6E1FB0" w:rsidRPr="006E1FB0" w:rsidRDefault="00642D86" w:rsidP="006E1FB0">
      <w:pPr>
        <w:jc w:val="center"/>
      </w:pPr>
      <w:r w:rsidRPr="009A4D77">
        <w:t xml:space="preserve">по результатам экспертизы проекта </w:t>
      </w:r>
      <w:r w:rsidR="00BE33A3">
        <w:t>решения Совета</w:t>
      </w:r>
      <w:r w:rsidRPr="009A4D77">
        <w:t xml:space="preserve">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6E1FB0" w:rsidRPr="006E1FB0">
        <w:t xml:space="preserve">«Об утверждении Порядка реализации </w:t>
      </w:r>
    </w:p>
    <w:p w:rsidR="006E1FB0" w:rsidRPr="006E1FB0" w:rsidRDefault="006E1FB0" w:rsidP="006E1FB0">
      <w:pPr>
        <w:jc w:val="center"/>
      </w:pPr>
      <w:r w:rsidRPr="006E1FB0">
        <w:t xml:space="preserve">проектов местных инициатив (инициативных проектов) на территории </w:t>
      </w:r>
    </w:p>
    <w:p w:rsidR="006E1FB0" w:rsidRPr="006E1FB0" w:rsidRDefault="006E1FB0" w:rsidP="006E1FB0">
      <w:pPr>
        <w:jc w:val="center"/>
        <w:rPr>
          <w:bCs/>
        </w:rPr>
      </w:pPr>
      <w:r w:rsidRPr="006E1FB0">
        <w:t>Туапсинского муниципального округа</w:t>
      </w:r>
      <w:r>
        <w:t>»</w:t>
      </w:r>
    </w:p>
    <w:p w:rsidR="006E1FB0" w:rsidRPr="006E1FB0" w:rsidRDefault="006E1FB0" w:rsidP="006E1FB0">
      <w:pPr>
        <w:jc w:val="center"/>
        <w:rPr>
          <w:b/>
        </w:rPr>
      </w:pPr>
    </w:p>
    <w:p w:rsidR="006E1FB0" w:rsidRPr="006E1FB0" w:rsidRDefault="006E1FB0" w:rsidP="006E1FB0">
      <w:pPr>
        <w:jc w:val="center"/>
        <w:rPr>
          <w:b/>
        </w:rPr>
      </w:pPr>
    </w:p>
    <w:p w:rsidR="00642D86" w:rsidRPr="009A4D77" w:rsidRDefault="00D654BD" w:rsidP="00A652D2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BE33A3">
        <w:t>Решения Совета</w:t>
      </w:r>
      <w:r w:rsidR="00642D86" w:rsidRPr="009A4D77">
        <w:t xml:space="preserve"> </w:t>
      </w:r>
      <w:r>
        <w:t>Туапсинского муниципального округа</w:t>
      </w:r>
      <w:bookmarkStart w:id="0" w:name="_GoBack"/>
      <w:bookmarkEnd w:id="0"/>
      <w:r w:rsidR="00A03B5E">
        <w:t xml:space="preserve"> </w:t>
      </w:r>
      <w:r w:rsidR="006E1FB0" w:rsidRPr="006E1FB0">
        <w:t>«Об утверждении Порядка реализации проектов местных инициатив (инициативных проектов) на территории Туапсинского муниципального округа»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</w:t>
      </w:r>
      <w:r w:rsidR="00A03B5E">
        <w:t>ЖКХ и ТЭК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proofErr w:type="gramEnd"/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6E1FB0" w:rsidRPr="006E1FB0" w:rsidRDefault="006E1FB0" w:rsidP="006E1FB0">
      <w:pPr>
        <w:ind w:right="140" w:firstLine="567"/>
        <w:jc w:val="both"/>
      </w:pPr>
      <w:bookmarkStart w:id="1" w:name="_Hlk188543474"/>
      <w:proofErr w:type="gramStart"/>
      <w:r w:rsidRPr="006E1FB0">
        <w:t xml:space="preserve">Бюджетным кодексом Российской Федерации, федеральным </w:t>
      </w:r>
      <w:hyperlink r:id="rId6" w:history="1">
        <w:r w:rsidRPr="006E1FB0">
          <w:rPr>
            <w:rStyle w:val="a7"/>
          </w:rPr>
          <w:t>законом</w:t>
        </w:r>
      </w:hyperlink>
      <w:r w:rsidRPr="006E1FB0">
        <w:t xml:space="preserve"> от 6 октября 2003 г. № 131-ФЗ «Об общих принципах организации местного самоуправления в Российской Федерации», </w:t>
      </w:r>
      <w:r w:rsidRPr="006E1FB0">
        <w:rPr>
          <w:bCs/>
        </w:rPr>
        <w:t>постановлениями главы администрации (губернатора) Краснодарского края</w:t>
      </w:r>
      <w:r w:rsidRPr="006E1FB0">
        <w:t xml:space="preserve"> </w:t>
      </w:r>
      <w:r w:rsidRPr="006E1FB0">
        <w:rPr>
          <w:bCs/>
        </w:rPr>
        <w:t>от 19 октября 2015 г. № 975 «Об утверждении государственной программы Краснодарского края «Региональная политика и развитие гражданского общества», от 6 февраля 2020 г. № 70 «О краевом конкурсе по отбору проектов местных инициатив»</w:t>
      </w:r>
      <w:r w:rsidRPr="006E1FB0">
        <w:t>,</w:t>
      </w:r>
      <w:bookmarkEnd w:id="1"/>
      <w:r w:rsidRPr="006E1FB0">
        <w:t xml:space="preserve"> Уставом</w:t>
      </w:r>
      <w:proofErr w:type="gramEnd"/>
      <w:r w:rsidRPr="006E1FB0">
        <w:t xml:space="preserve"> Туапсинского муниципального округа 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7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lastRenderedPageBreak/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112BE"/>
    <w:rsid w:val="00420819"/>
    <w:rsid w:val="00442512"/>
    <w:rsid w:val="00476C16"/>
    <w:rsid w:val="004A2BA1"/>
    <w:rsid w:val="005E32DE"/>
    <w:rsid w:val="006411F8"/>
    <w:rsid w:val="00642D86"/>
    <w:rsid w:val="00687372"/>
    <w:rsid w:val="006D7E65"/>
    <w:rsid w:val="006E1FB0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B5E"/>
    <w:rsid w:val="00A652D2"/>
    <w:rsid w:val="00BE33A3"/>
    <w:rsid w:val="00BF66CE"/>
    <w:rsid w:val="00CE0EC7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uapseregio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4309&amp;dst=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2028C-BEEC-40A2-AFEE-12ADC62D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2025-03-19T10:55:00Z</cp:lastPrinted>
  <dcterms:created xsi:type="dcterms:W3CDTF">2025-03-19T10:54:00Z</dcterms:created>
  <dcterms:modified xsi:type="dcterms:W3CDTF">2025-03-19T11:02:00Z</dcterms:modified>
</cp:coreProperties>
</file>