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A652D2" w:rsidRDefault="00642D86" w:rsidP="00A652D2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A652D2">
        <w:t>«</w:t>
      </w:r>
      <w:r w:rsidR="00A652D2">
        <w:t xml:space="preserve">Об утверждении Порядка </w:t>
      </w:r>
    </w:p>
    <w:p w:rsidR="00A652D2" w:rsidRDefault="00A652D2" w:rsidP="00A652D2">
      <w:pPr>
        <w:jc w:val="center"/>
      </w:pPr>
      <w:r>
        <w:t xml:space="preserve">предоставления дополнительной меры социальной поддержки отдельным категориям граждан за счет средств бюджета Туапсинского муниципального округа Краснодарского края в целях компенсации расходов (части расходов), связанных с переводом многоквартирных домов </w:t>
      </w:r>
      <w:proofErr w:type="gramStart"/>
      <w:r>
        <w:t>с</w:t>
      </w:r>
      <w:proofErr w:type="gramEnd"/>
      <w:r>
        <w:t xml:space="preserve"> сжиженного </w:t>
      </w:r>
    </w:p>
    <w:p w:rsidR="00A652D2" w:rsidRDefault="00A652D2" w:rsidP="00A652D2">
      <w:pPr>
        <w:jc w:val="center"/>
      </w:pPr>
      <w:r>
        <w:t>углево</w:t>
      </w:r>
      <w:r>
        <w:t>дородного газа на природный газ»</w:t>
      </w:r>
    </w:p>
    <w:p w:rsidR="00A652D2" w:rsidRDefault="00A652D2" w:rsidP="00A652D2">
      <w:pPr>
        <w:jc w:val="center"/>
      </w:pP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B5E">
        <w:t xml:space="preserve">           </w:t>
      </w:r>
      <w:r w:rsidR="00A652D2">
        <w:t xml:space="preserve">«Об утверждении Порядка предоставления дополнительной меры социальной поддержки отдельным категориям граждан за счет средств бюджета Туапсинского муниципального округа Краснодарского края в целях компенсации расходов (части расходов), связанных с переводом многоквартирных домов с сжиженного </w:t>
      </w:r>
      <w:bookmarkStart w:id="0" w:name="_GoBack"/>
      <w:bookmarkEnd w:id="0"/>
      <w:r w:rsidR="00A652D2">
        <w:t>углеводородного газа на природный газ»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A652D2" w:rsidP="00712AA1">
      <w:pPr>
        <w:ind w:right="140" w:firstLine="567"/>
        <w:jc w:val="both"/>
      </w:pPr>
      <w:proofErr w:type="gramStart"/>
      <w:r w:rsidRPr="00A652D2">
        <w:t>Указом Президента Российской Федерации  от 16 марта 2022 г. № 121 «О мерах по обеспечению социально-экономической стабильности и защиты населения в Российской Федерации», Бюджетным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31 марта 1999 г. № 69-ФЗ «О газоснабжении в Российской Федерации», постановлениями Правительства Российской Федерации от 13</w:t>
      </w:r>
      <w:proofErr w:type="gramEnd"/>
      <w:r w:rsidRPr="00A652D2">
        <w:t xml:space="preserve"> </w:t>
      </w:r>
      <w:proofErr w:type="gramStart"/>
      <w:r w:rsidRPr="00A652D2">
        <w:t xml:space="preserve">сентября 2021 г. № 1547 «Об утверждении Правил подключения (технологического присоединения) газоиспользующего оборудования и </w:t>
      </w:r>
      <w:r w:rsidRPr="00A652D2">
        <w:lastRenderedPageBreak/>
        <w:t>объектов капитального строительства к сетям газораспределения и о признании утратившими силу некоторых актов Правительства Российской Федерации», от 13 сентября 2021 г. № 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</w:t>
      </w:r>
      <w:proofErr w:type="gramEnd"/>
      <w:r w:rsidRPr="00A652D2">
        <w:t xml:space="preserve">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Уставом муниципального образования Туапсинский муниципальный округ Краснодарского края</w:t>
      </w:r>
      <w:r w:rsidR="00A03B5E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D518-24F4-4921-AB93-5607A454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2025-02-14T12:01:00Z</cp:lastPrinted>
  <dcterms:created xsi:type="dcterms:W3CDTF">2025-02-14T12:01:00Z</dcterms:created>
  <dcterms:modified xsi:type="dcterms:W3CDTF">2025-02-14T12:01:00Z</dcterms:modified>
</cp:coreProperties>
</file>